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9657" w14:textId="77777777" w:rsidR="002E170D" w:rsidRPr="002A76CC" w:rsidRDefault="002E170D" w:rsidP="002E21F6">
      <w:pPr>
        <w:spacing w:line="276" w:lineRule="auto"/>
        <w:rPr>
          <w:rFonts w:ascii="Lato" w:hAnsi="Lato" w:cs="Arial"/>
          <w:b/>
          <w:i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E9768F" w:rsidRPr="002A76CC" w14:paraId="3B26E8F2" w14:textId="77777777" w:rsidTr="00543A17">
        <w:trPr>
          <w:trHeight w:val="413"/>
        </w:trPr>
        <w:tc>
          <w:tcPr>
            <w:tcW w:w="9498" w:type="dxa"/>
            <w:gridSpan w:val="2"/>
          </w:tcPr>
          <w:p w14:paraId="564F4C17" w14:textId="6B5B14BF" w:rsidR="002B21C3" w:rsidRPr="002A76CC" w:rsidRDefault="00174203" w:rsidP="002E21F6">
            <w:pPr>
              <w:tabs>
                <w:tab w:val="left" w:pos="1418"/>
              </w:tabs>
              <w:spacing w:line="276" w:lineRule="auto"/>
              <w:jc w:val="center"/>
              <w:rPr>
                <w:rFonts w:ascii="Lato" w:hAnsi="Lato" w:cs="Arial"/>
                <w:b/>
                <w:sz w:val="22"/>
                <w:szCs w:val="22"/>
                <w:lang w:eastAsia="en-GB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 xml:space="preserve">TITLE: </w:t>
            </w:r>
            <w:r w:rsidR="00EF33BF" w:rsidRPr="002A76CC">
              <w:rPr>
                <w:rFonts w:ascii="Lato" w:hAnsi="Lato" w:cs="Arial"/>
                <w:b/>
                <w:sz w:val="22"/>
                <w:szCs w:val="22"/>
                <w:lang w:eastAsia="en-GB"/>
              </w:rPr>
              <w:t> </w:t>
            </w:r>
            <w:r w:rsidR="002A76CC">
              <w:rPr>
                <w:rFonts w:ascii="Lato" w:hAnsi="Lato" w:cs="Arial"/>
                <w:b/>
                <w:sz w:val="22"/>
                <w:szCs w:val="22"/>
                <w:lang w:eastAsia="en-GB"/>
              </w:rPr>
              <w:t>Chief of Party (</w:t>
            </w:r>
            <w:r w:rsidR="009A6F48" w:rsidRPr="002A76CC">
              <w:rPr>
                <w:rFonts w:ascii="Lato" w:hAnsi="Lato" w:cs="Arial"/>
                <w:b/>
                <w:w w:val="108"/>
                <w:sz w:val="22"/>
                <w:szCs w:val="22"/>
              </w:rPr>
              <w:t>Dire</w:t>
            </w:r>
            <w:r w:rsidR="009A6F48" w:rsidRPr="002A76CC">
              <w:rPr>
                <w:rFonts w:ascii="Lato" w:hAnsi="Lato" w:cs="Arial"/>
                <w:b/>
                <w:spacing w:val="-19"/>
                <w:w w:val="108"/>
                <w:sz w:val="22"/>
                <w:szCs w:val="22"/>
              </w:rPr>
              <w:t>c</w:t>
            </w:r>
            <w:r w:rsidR="009A6F48" w:rsidRPr="002A76CC">
              <w:rPr>
                <w:rFonts w:ascii="Lato" w:hAnsi="Lato" w:cs="Arial"/>
                <w:b/>
                <w:w w:val="118"/>
                <w:sz w:val="22"/>
                <w:szCs w:val="22"/>
              </w:rPr>
              <w:t>tor</w:t>
            </w:r>
            <w:r w:rsidR="002A76CC">
              <w:rPr>
                <w:rFonts w:ascii="Lato" w:hAnsi="Lato" w:cs="Arial"/>
                <w:b/>
                <w:w w:val="118"/>
                <w:sz w:val="22"/>
                <w:szCs w:val="22"/>
              </w:rPr>
              <w:t>)</w:t>
            </w:r>
          </w:p>
        </w:tc>
      </w:tr>
      <w:tr w:rsidR="00E9768F" w:rsidRPr="002A76CC" w14:paraId="3D87F69B" w14:textId="77777777" w:rsidTr="00624CD4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5EC3568B" w14:textId="1A76715D" w:rsidR="00EF33BF" w:rsidRPr="002A76CC" w:rsidRDefault="00F55B51" w:rsidP="002E21F6">
            <w:pPr>
              <w:tabs>
                <w:tab w:val="left" w:pos="1418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TEAM/PROGRAMME</w:t>
            </w:r>
            <w:r w:rsidR="00174203" w:rsidRPr="002A76CC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  <w:r w:rsidR="009A6F48" w:rsidRPr="002A76CC">
              <w:rPr>
                <w:rFonts w:ascii="Lato" w:hAnsi="Lato" w:cs="Arial"/>
                <w:sz w:val="22"/>
                <w:szCs w:val="22"/>
              </w:rPr>
              <w:t xml:space="preserve">Education </w:t>
            </w:r>
            <w:r w:rsidR="009A6F48" w:rsidRPr="002A76CC">
              <w:rPr>
                <w:rFonts w:ascii="Lato" w:hAnsi="Lato" w:cs="Arial"/>
                <w:w w:val="117"/>
                <w:sz w:val="22"/>
                <w:szCs w:val="22"/>
              </w:rPr>
              <w:t>Consortium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6DBE90B" w14:textId="363C87A6" w:rsidR="00174203" w:rsidRPr="002A76CC" w:rsidRDefault="00F55B51" w:rsidP="002E21F6">
            <w:pPr>
              <w:tabs>
                <w:tab w:val="left" w:pos="1693"/>
              </w:tabs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LOCATION</w:t>
            </w:r>
            <w:r w:rsidR="00174203" w:rsidRPr="002A76CC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  <w:r w:rsidR="002A76CC">
              <w:rPr>
                <w:rFonts w:ascii="Lato" w:hAnsi="Lato" w:cs="Arial"/>
                <w:sz w:val="22"/>
                <w:szCs w:val="22"/>
              </w:rPr>
              <w:t>Bangkok, Thailand</w:t>
            </w:r>
          </w:p>
        </w:tc>
      </w:tr>
      <w:tr w:rsidR="00E9768F" w:rsidRPr="002A76CC" w14:paraId="5811D6AC" w14:textId="77777777" w:rsidTr="00624CD4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240C6736" w14:textId="540B15AA" w:rsidR="00F55B51" w:rsidRPr="002A76CC" w:rsidRDefault="00EF33BF" w:rsidP="002E21F6">
            <w:pPr>
              <w:tabs>
                <w:tab w:val="left" w:pos="1134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GRADE</w:t>
            </w:r>
            <w:r w:rsidR="00E9768F" w:rsidRPr="002A76CC">
              <w:rPr>
                <w:rFonts w:ascii="Lato" w:hAnsi="Lato" w:cs="Arial"/>
                <w:sz w:val="22"/>
                <w:szCs w:val="22"/>
              </w:rPr>
              <w:t xml:space="preserve">: </w:t>
            </w:r>
            <w:r w:rsidR="00F9086D" w:rsidRPr="002A7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2A76CC">
              <w:rPr>
                <w:rFonts w:ascii="Lato" w:hAnsi="Lato" w:cs="Arial"/>
                <w:sz w:val="22"/>
                <w:szCs w:val="22"/>
              </w:rPr>
              <w:t>INT-2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AE0405D" w14:textId="77777777" w:rsidR="00267F7F" w:rsidRPr="002A76CC" w:rsidRDefault="00B5365E" w:rsidP="002E21F6">
            <w:pPr>
              <w:tabs>
                <w:tab w:val="left" w:pos="984"/>
              </w:tabs>
              <w:spacing w:line="276" w:lineRule="auto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CONTRACT</w:t>
            </w:r>
            <w:r w:rsidR="00E2250C" w:rsidRPr="002A76CC">
              <w:rPr>
                <w:rFonts w:ascii="Lato" w:hAnsi="Lato" w:cs="Arial"/>
                <w:b/>
                <w:sz w:val="22"/>
                <w:szCs w:val="22"/>
              </w:rPr>
              <w:t xml:space="preserve"> LENGTH</w:t>
            </w:r>
            <w:r w:rsidRPr="002A76C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9A6F48" w:rsidRPr="002A76CC">
              <w:rPr>
                <w:rFonts w:ascii="Lato" w:hAnsi="Lato" w:cs="Arial"/>
                <w:b/>
                <w:i/>
                <w:sz w:val="22"/>
                <w:szCs w:val="22"/>
              </w:rPr>
              <w:t xml:space="preserve"> </w:t>
            </w:r>
            <w:r w:rsidR="009A6F48" w:rsidRPr="002A76CC">
              <w:rPr>
                <w:rFonts w:ascii="Lato" w:hAnsi="Lato" w:cs="Arial"/>
                <w:position w:val="-1"/>
                <w:sz w:val="22"/>
                <w:szCs w:val="22"/>
              </w:rPr>
              <w:t>2</w:t>
            </w:r>
            <w:r w:rsidR="009A6F48" w:rsidRPr="002A76CC">
              <w:rPr>
                <w:rFonts w:ascii="Lato" w:hAnsi="Lato" w:cs="Arial"/>
                <w:spacing w:val="23"/>
                <w:position w:val="-1"/>
                <w:sz w:val="22"/>
                <w:szCs w:val="22"/>
              </w:rPr>
              <w:t xml:space="preserve"> </w:t>
            </w:r>
            <w:r w:rsidR="009A6F48" w:rsidRPr="002A76CC">
              <w:rPr>
                <w:rFonts w:ascii="Lato" w:hAnsi="Lato" w:cs="Arial"/>
                <w:position w:val="-1"/>
                <w:sz w:val="22"/>
                <w:szCs w:val="22"/>
              </w:rPr>
              <w:t>years</w:t>
            </w:r>
            <w:r w:rsidR="009A6F48" w:rsidRPr="002A76CC">
              <w:rPr>
                <w:rFonts w:ascii="Lato" w:hAnsi="Lato" w:cs="Arial"/>
                <w:spacing w:val="43"/>
                <w:position w:val="-1"/>
                <w:sz w:val="22"/>
                <w:szCs w:val="22"/>
              </w:rPr>
              <w:t xml:space="preserve"> </w:t>
            </w:r>
            <w:r w:rsidR="009A6F48" w:rsidRPr="002A76CC">
              <w:rPr>
                <w:rFonts w:ascii="Lato" w:hAnsi="Lato" w:cs="Arial"/>
                <w:position w:val="-1"/>
                <w:sz w:val="22"/>
                <w:szCs w:val="22"/>
              </w:rPr>
              <w:t>with</w:t>
            </w:r>
            <w:r w:rsidR="009A6F48" w:rsidRPr="002A76CC">
              <w:rPr>
                <w:rFonts w:ascii="Lato" w:hAnsi="Lato" w:cs="Arial"/>
                <w:spacing w:val="43"/>
                <w:position w:val="-1"/>
                <w:sz w:val="22"/>
                <w:szCs w:val="22"/>
              </w:rPr>
              <w:t xml:space="preserve"> </w:t>
            </w:r>
            <w:r w:rsidR="009A6F48" w:rsidRPr="002A76CC">
              <w:rPr>
                <w:rFonts w:ascii="Lato" w:hAnsi="Lato" w:cs="Arial"/>
                <w:position w:val="-1"/>
                <w:sz w:val="22"/>
                <w:szCs w:val="22"/>
              </w:rPr>
              <w:t>option for extension</w:t>
            </w:r>
          </w:p>
        </w:tc>
      </w:tr>
      <w:tr w:rsidR="00E9768F" w:rsidRPr="002A76CC" w14:paraId="003EA5C1" w14:textId="77777777" w:rsidTr="00543A17">
        <w:trPr>
          <w:trHeight w:val="42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306FF5D9" w14:textId="093A59F2" w:rsidR="00D43470" w:rsidRPr="002A76CC" w:rsidRDefault="00770638" w:rsidP="00235D14">
            <w:pPr>
              <w:tabs>
                <w:tab w:val="left" w:pos="984"/>
              </w:tabs>
              <w:spacing w:line="276" w:lineRule="auto"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 xml:space="preserve">CHILD SAFEGUARDING: </w:t>
            </w:r>
          </w:p>
          <w:p w14:paraId="523761D8" w14:textId="749A318D" w:rsidR="00D43470" w:rsidRPr="002A76CC" w:rsidRDefault="00D43470" w:rsidP="002E21F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  <w:lang w:val="en-US"/>
              </w:rPr>
              <w:t xml:space="preserve">Level 3:  the post holder will have contact with children and/or young people </w:t>
            </w:r>
            <w:r w:rsidRPr="002A76CC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Pr="002A76CC">
              <w:rPr>
                <w:rFonts w:ascii="Lato" w:hAnsi="Lato" w:cs="Arial"/>
                <w:sz w:val="22"/>
                <w:szCs w:val="22"/>
                <w:lang w:val="en-US"/>
              </w:rPr>
              <w:t xml:space="preserve"> frequently 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(e.g. once a week or more) </w:t>
            </w:r>
            <w:r w:rsidRPr="002A76CC">
              <w:rPr>
                <w:rFonts w:ascii="Lato" w:hAnsi="Lato" w:cs="Arial"/>
                <w:sz w:val="22"/>
                <w:szCs w:val="22"/>
                <w:u w:val="single"/>
              </w:rPr>
              <w:t>or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intensively (e.g. four days in one month or more or overnight) because they work country program</w:t>
            </w:r>
            <w:r w:rsidR="00D50397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>s; or ar</w:t>
            </w:r>
            <w:r w:rsidR="00EF20E6" w:rsidRPr="002A76CC">
              <w:rPr>
                <w:rFonts w:ascii="Lato" w:hAnsi="Lato" w:cs="Arial"/>
                <w:sz w:val="22"/>
                <w:szCs w:val="22"/>
              </w:rPr>
              <w:t>e visiting country program</w:t>
            </w:r>
            <w:r w:rsidR="00D50397">
              <w:rPr>
                <w:rFonts w:ascii="Lato" w:hAnsi="Lato" w:cs="Arial"/>
                <w:sz w:val="22"/>
                <w:szCs w:val="22"/>
              </w:rPr>
              <w:t>me</w:t>
            </w:r>
            <w:r w:rsidR="00EF20E6" w:rsidRPr="002A76CC">
              <w:rPr>
                <w:rFonts w:ascii="Lato" w:hAnsi="Lato" w:cs="Arial"/>
                <w:sz w:val="22"/>
                <w:szCs w:val="22"/>
              </w:rPr>
              <w:t>s; or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because they are responsible for implementing the police checking/vetting process staff.</w:t>
            </w:r>
          </w:p>
          <w:p w14:paraId="31B17768" w14:textId="77777777" w:rsidR="00770638" w:rsidRPr="002A76CC" w:rsidRDefault="00770638" w:rsidP="002E21F6">
            <w:pPr>
              <w:tabs>
                <w:tab w:val="left" w:pos="984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E9768F" w:rsidRPr="002A76CC" w14:paraId="24CD0F9A" w14:textId="77777777" w:rsidTr="002E21F6">
        <w:trPr>
          <w:trHeight w:val="962"/>
        </w:trPr>
        <w:tc>
          <w:tcPr>
            <w:tcW w:w="9498" w:type="dxa"/>
            <w:gridSpan w:val="2"/>
          </w:tcPr>
          <w:p w14:paraId="7C283212" w14:textId="77777777" w:rsidR="00235D14" w:rsidRDefault="002B21C3" w:rsidP="00235D14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ROLE</w:t>
            </w:r>
            <w:r w:rsidR="00D5085F" w:rsidRPr="002A76CC">
              <w:rPr>
                <w:rFonts w:ascii="Lato" w:hAnsi="Lato" w:cs="Arial"/>
                <w:b/>
                <w:sz w:val="22"/>
                <w:szCs w:val="22"/>
              </w:rPr>
              <w:t xml:space="preserve"> PURPOSE</w:t>
            </w:r>
            <w:r w:rsidRPr="002A76C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984B86" w:rsidRPr="002A76C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37F9B19C" w14:textId="5E2A4A91" w:rsidR="00235D14" w:rsidRPr="00E7517B" w:rsidRDefault="00235D14" w:rsidP="00235D14">
            <w:pPr>
              <w:spacing w:line="276" w:lineRule="auto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B644B9">
              <w:rPr>
                <w:rFonts w:ascii="Lato" w:hAnsi="Lato"/>
                <w:color w:val="000000" w:themeColor="text1"/>
                <w:sz w:val="22"/>
                <w:szCs w:val="22"/>
                <w:lang w:val="en-IE"/>
              </w:rPr>
              <w:t xml:space="preserve">As a multi-donor funded programme, </w:t>
            </w:r>
            <w:r w:rsidR="00404EA4" w:rsidRPr="00B644B9">
              <w:rPr>
                <w:rFonts w:ascii="Lato" w:hAnsi="Lato"/>
                <w:color w:val="000000" w:themeColor="text1"/>
                <w:sz w:val="22"/>
                <w:szCs w:val="22"/>
                <w:lang w:val="en-IE"/>
              </w:rPr>
              <w:t xml:space="preserve">the </w:t>
            </w:r>
            <w:r w:rsidR="00DC293E">
              <w:rPr>
                <w:rFonts w:ascii="Lato" w:hAnsi="Lato"/>
                <w:color w:val="000000" w:themeColor="text1"/>
                <w:sz w:val="22"/>
                <w:szCs w:val="22"/>
                <w:lang w:val="en-IE"/>
              </w:rPr>
              <w:t>program</w:t>
            </w:r>
            <w:r w:rsidR="00990F81">
              <w:rPr>
                <w:rFonts w:ascii="Lato" w:hAnsi="Lato"/>
                <w:color w:val="000000" w:themeColor="text1"/>
                <w:sz w:val="22"/>
                <w:szCs w:val="22"/>
                <w:lang w:val="en-IE"/>
              </w:rPr>
              <w:t>me</w:t>
            </w:r>
            <w:r w:rsidR="00B644B9" w:rsidRPr="00B644B9">
              <w:rPr>
                <w:rFonts w:ascii="Lato" w:hAnsi="Lato"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 w:rsidRPr="00B644B9">
              <w:rPr>
                <w:rFonts w:ascii="Lato" w:hAnsi="Lato"/>
                <w:color w:val="000000" w:themeColor="text1"/>
                <w:sz w:val="22"/>
                <w:szCs w:val="22"/>
                <w:lang w:val="en-IE"/>
              </w:rPr>
              <w:t xml:space="preserve">partners </w:t>
            </w:r>
            <w:r w:rsidRPr="00E7517B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with selected </w:t>
            </w:r>
            <w:r w:rsidR="00E57430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complimentary </w:t>
            </w:r>
            <w:r w:rsidRPr="00E7517B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education providers to strengthen their capacity to deliver and sustain good quality learning opportunities for children considered to be hard-to-reach in Myanmar. Applying a ‘systems-strengthening’ approach, </w:t>
            </w:r>
            <w:r w:rsidRPr="00E7517B">
              <w:rPr>
                <w:rFonts w:ascii="Lato" w:hAnsi="Lato"/>
                <w:color w:val="000000"/>
                <w:sz w:val="22"/>
                <w:szCs w:val="22"/>
                <w:lang w:val="en-ZA"/>
              </w:rPr>
              <w:t xml:space="preserve">the </w:t>
            </w:r>
            <w:r w:rsidR="00982F39">
              <w:rPr>
                <w:rFonts w:ascii="Lato" w:hAnsi="Lato"/>
                <w:color w:val="000000"/>
                <w:sz w:val="22"/>
                <w:szCs w:val="22"/>
                <w:lang w:val="en-ZA"/>
              </w:rPr>
              <w:t>program</w:t>
            </w:r>
            <w:r w:rsidR="00A82817">
              <w:rPr>
                <w:rFonts w:ascii="Lato" w:hAnsi="Lato"/>
                <w:color w:val="000000"/>
                <w:sz w:val="22"/>
                <w:szCs w:val="22"/>
                <w:lang w:val="en-ZA"/>
              </w:rPr>
              <w:t>me</w:t>
            </w:r>
            <w:r w:rsidRPr="00E7517B">
              <w:rPr>
                <w:rFonts w:ascii="Lato" w:hAnsi="Lato"/>
                <w:color w:val="000000"/>
                <w:sz w:val="22"/>
                <w:szCs w:val="22"/>
                <w:lang w:val="en-ZA"/>
              </w:rPr>
              <w:t xml:space="preserve"> provides funding, coordination, technical assistance and research across different complementary education systems to promote continuous improvement of education services.</w:t>
            </w:r>
            <w:r w:rsidRPr="00E7517B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</w:t>
            </w:r>
            <w:r w:rsidR="00713FF2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The </w:t>
            </w:r>
            <w:r w:rsidR="00982F39">
              <w:rPr>
                <w:rFonts w:ascii="Lato" w:hAnsi="Lato"/>
                <w:color w:val="000000"/>
                <w:sz w:val="22"/>
                <w:szCs w:val="22"/>
                <w:lang w:val="en-IE"/>
              </w:rPr>
              <w:t>programme</w:t>
            </w:r>
            <w:r w:rsidR="00713FF2" w:rsidRPr="00E7517B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</w:t>
            </w:r>
            <w:r w:rsidRPr="00E7517B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works with its partners, established education providers, to place an emphasis on developing the quality and inclusivity of education in Myanmar, including improved learning outcomes; and with a broader range of diverse stakeholders to address key barriers for the achievement of equitable education. In line with its current 2021-25 programme strategy, the overall aim for the programme is that children </w:t>
            </w:r>
            <w:r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facing barriers to learning </w:t>
            </w:r>
            <w:r w:rsidRPr="00E7517B">
              <w:rPr>
                <w:rFonts w:ascii="Lato" w:hAnsi="Lato"/>
                <w:color w:val="000000"/>
                <w:sz w:val="22"/>
                <w:szCs w:val="22"/>
                <w:lang w:val="en-IE"/>
              </w:rPr>
              <w:t>access education services that meet their learning and well-being needs</w:t>
            </w:r>
            <w:r>
              <w:rPr>
                <w:rFonts w:ascii="Lato" w:hAnsi="Lato"/>
                <w:color w:val="000000"/>
                <w:sz w:val="22"/>
                <w:szCs w:val="22"/>
                <w:lang w:val="en-IE"/>
              </w:rPr>
              <w:t>.</w:t>
            </w:r>
          </w:p>
          <w:p w14:paraId="68D4CBB0" w14:textId="77777777" w:rsidR="009A6F48" w:rsidRPr="002A76CC" w:rsidRDefault="009A6F48" w:rsidP="002E21F6">
            <w:pPr>
              <w:spacing w:line="276" w:lineRule="auto"/>
              <w:ind w:right="231"/>
              <w:rPr>
                <w:rFonts w:ascii="Lato" w:hAnsi="Lato" w:cs="Arial"/>
                <w:sz w:val="22"/>
                <w:szCs w:val="22"/>
              </w:rPr>
            </w:pPr>
          </w:p>
          <w:p w14:paraId="46971C4B" w14:textId="07A50A8D" w:rsidR="009A6F48" w:rsidRPr="00235D14" w:rsidRDefault="009A6F48" w:rsidP="00235D14">
            <w:pPr>
              <w:spacing w:line="276" w:lineRule="auto"/>
              <w:jc w:val="both"/>
              <w:rPr>
                <w:rFonts w:ascii="Lato" w:hAnsi="Lato"/>
                <w:color w:val="000000"/>
                <w:sz w:val="22"/>
                <w:szCs w:val="22"/>
                <w:lang w:val="en-IE"/>
              </w:rPr>
            </w:pP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The </w:t>
            </w:r>
            <w:r w:rsidR="00B644B9">
              <w:rPr>
                <w:rFonts w:ascii="Lato" w:hAnsi="Lato"/>
                <w:color w:val="000000"/>
                <w:sz w:val="22"/>
                <w:szCs w:val="22"/>
                <w:lang w:val="en-IE"/>
              </w:rPr>
              <w:t>Chief of Party (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CoP</w:t>
            </w:r>
            <w:r w:rsidR="00B644B9">
              <w:rPr>
                <w:rFonts w:ascii="Lato" w:hAnsi="Lato"/>
                <w:color w:val="000000"/>
                <w:sz w:val="22"/>
                <w:szCs w:val="22"/>
                <w:lang w:val="en-IE"/>
              </w:rPr>
              <w:t>)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will build strong relationships across</w:t>
            </w:r>
            <w:r w:rsid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development partners and 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ethnic, religious, and civil society leaders to embed understanding of political and conflict dynamics in the program</w:t>
            </w:r>
            <w:r w:rsid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me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team and approach, to build trust between stakeholders and to advocate for positive change. The </w:t>
            </w:r>
            <w:r w:rsidR="00B644B9">
              <w:rPr>
                <w:rFonts w:ascii="Lato" w:hAnsi="Lato"/>
                <w:color w:val="000000"/>
                <w:sz w:val="22"/>
                <w:szCs w:val="22"/>
                <w:lang w:val="en-IE"/>
              </w:rPr>
              <w:t>e</w:t>
            </w:r>
            <w:r w:rsidR="009D388A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ducation </w:t>
            </w:r>
            <w:r w:rsidR="00B644B9">
              <w:rPr>
                <w:rFonts w:ascii="Lato" w:hAnsi="Lato"/>
                <w:color w:val="000000"/>
                <w:sz w:val="22"/>
                <w:szCs w:val="22"/>
                <w:lang w:val="en-IE"/>
              </w:rPr>
              <w:t>c</w:t>
            </w:r>
            <w:r w:rsidR="009D388A">
              <w:rPr>
                <w:rFonts w:ascii="Lato" w:hAnsi="Lato"/>
                <w:color w:val="000000"/>
                <w:sz w:val="22"/>
                <w:szCs w:val="22"/>
                <w:lang w:val="en-IE"/>
              </w:rPr>
              <w:t>onsortium</w:t>
            </w:r>
            <w:r w:rsidR="009D388A"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is built on strong partnerships with local partners to develop practical and innovative program</w:t>
            </w:r>
            <w:r w:rsid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me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s, to support local leadership and to </w:t>
            </w:r>
            <w:r w:rsidR="00CE2BA5">
              <w:rPr>
                <w:rFonts w:ascii="Lato" w:hAnsi="Lato"/>
                <w:color w:val="000000"/>
                <w:sz w:val="22"/>
                <w:szCs w:val="22"/>
                <w:lang w:val="en-IE"/>
              </w:rPr>
              <w:t>strengthen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partner </w:t>
            </w:r>
            <w:r w:rsidR="00CE2BA5">
              <w:rPr>
                <w:rFonts w:ascii="Lato" w:hAnsi="Lato"/>
                <w:color w:val="000000"/>
                <w:sz w:val="22"/>
                <w:szCs w:val="22"/>
                <w:lang w:val="en-IE"/>
              </w:rPr>
              <w:t>education systems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. The successful candidate will need to be able to manage a complex organi</w:t>
            </w:r>
            <w:r w:rsid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s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ation; promoting a culture of learning and being able to adapt to changes in the operating environment. The program</w:t>
            </w:r>
            <w:r w:rsid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me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is supported by </w:t>
            </w:r>
            <w:r w:rsid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a Deputy Chief of Party, Programme Operations and Directors of 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Education, </w:t>
            </w:r>
            <w:r w:rsid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Partnership and 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Program</w:t>
            </w:r>
            <w:r w:rsid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me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Support</w:t>
            </w:r>
            <w:r w:rsid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, Strategy Policy, Planning and Learning, and Evidence and Information Management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. Experience in education programming will be a distinct </w:t>
            </w:r>
            <w:proofErr w:type="gramStart"/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advantage, but</w:t>
            </w:r>
            <w:proofErr w:type="gramEnd"/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is not a pre-requisite.</w:t>
            </w:r>
            <w:r w:rsidR="00756560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Experience of working in the Myanmar context </w:t>
            </w:r>
            <w:r w:rsidR="00206BD9">
              <w:rPr>
                <w:rFonts w:ascii="Lato" w:hAnsi="Lato"/>
                <w:color w:val="000000"/>
                <w:sz w:val="22"/>
                <w:szCs w:val="22"/>
                <w:lang w:val="en-IE"/>
              </w:rPr>
              <w:t>is strongly preferred</w:t>
            </w:r>
            <w:r w:rsidR="00756560">
              <w:rPr>
                <w:rFonts w:ascii="Lato" w:hAnsi="Lato"/>
                <w:color w:val="000000"/>
                <w:sz w:val="22"/>
                <w:szCs w:val="22"/>
                <w:lang w:val="en-IE"/>
              </w:rPr>
              <w:t>.</w:t>
            </w:r>
          </w:p>
          <w:p w14:paraId="2E253EAA" w14:textId="77777777" w:rsidR="009A6F48" w:rsidRPr="00235D14" w:rsidRDefault="009A6F48" w:rsidP="00235D14">
            <w:pPr>
              <w:spacing w:line="276" w:lineRule="auto"/>
              <w:jc w:val="both"/>
              <w:rPr>
                <w:rFonts w:ascii="Lato" w:hAnsi="Lato"/>
                <w:color w:val="000000"/>
                <w:sz w:val="22"/>
                <w:szCs w:val="22"/>
                <w:lang w:val="en-IE"/>
              </w:rPr>
            </w:pPr>
          </w:p>
          <w:p w14:paraId="65E1DC4B" w14:textId="386635C9" w:rsidR="00480895" w:rsidRPr="002A76CC" w:rsidRDefault="009A6F48" w:rsidP="00235D14">
            <w:pPr>
              <w:spacing w:line="276" w:lineRule="auto"/>
              <w:jc w:val="both"/>
              <w:rPr>
                <w:rFonts w:ascii="Lato" w:hAnsi="Lato" w:cs="Arial"/>
                <w:sz w:val="22"/>
                <w:szCs w:val="22"/>
              </w:rPr>
            </w:pP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The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CoP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will be responsible for the effective and efficient implementation of the program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me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, including a budget of approximately $</w:t>
            </w:r>
            <w:r w:rsidR="00756560">
              <w:rPr>
                <w:rFonts w:ascii="Lato" w:hAnsi="Lato"/>
                <w:color w:val="000000"/>
                <w:sz w:val="22"/>
                <w:szCs w:val="22"/>
                <w:lang w:val="en-IE"/>
              </w:rPr>
              <w:t>20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million/year and the management of a predominantly national team of </w:t>
            </w:r>
            <w:r w:rsidR="00756560">
              <w:rPr>
                <w:rFonts w:ascii="Lato" w:hAnsi="Lato"/>
                <w:color w:val="000000"/>
                <w:sz w:val="22"/>
                <w:szCs w:val="22"/>
                <w:lang w:val="en-IE"/>
              </w:rPr>
              <w:t>71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people.  The 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CoP</w:t>
            </w:r>
            <w:r w:rsidR="00CA0DE6"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reports to the Steering Committee, which includes donor and fund manager representatives and is responsible for strategic oversight of the program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me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. </w:t>
            </w:r>
            <w:r w:rsidR="004A0467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The programme 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is </w:t>
            </w:r>
            <w:r w:rsidRPr="00B01A0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hosted by Save the Children</w:t>
            </w:r>
            <w:r w:rsidR="004A0467" w:rsidRPr="00B01A0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and</w:t>
            </w:r>
            <w:r w:rsidRPr="00B01A0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funded to end </w:t>
            </w:r>
            <w:r w:rsidR="00B01A0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in </w:t>
            </w:r>
            <w:r w:rsidRPr="00B01A0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May 202</w:t>
            </w:r>
            <w:r w:rsidR="001D0F6C" w:rsidRPr="00B01A0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8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, </w:t>
            </w:r>
            <w:r w:rsidR="00756560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with </w:t>
            </w:r>
            <w:r w:rsidR="001D0F6C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additional </w:t>
            </w:r>
            <w:r w:rsidR="00756560">
              <w:rPr>
                <w:rFonts w:ascii="Lato" w:hAnsi="Lato"/>
                <w:color w:val="000000"/>
                <w:sz w:val="22"/>
                <w:szCs w:val="22"/>
                <w:lang w:val="en-IE"/>
              </w:rPr>
              <w:t>donor grants</w:t>
            </w:r>
            <w:r w:rsidR="001D0F6C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anticipated to be extended to at least 2029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. To inform decision making, a </w:t>
            </w:r>
            <w:r w:rsidR="001D0F6C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strategy 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review </w:t>
            </w:r>
            <w:r w:rsidR="001D0F6C">
              <w:rPr>
                <w:rFonts w:ascii="Lato" w:hAnsi="Lato"/>
                <w:color w:val="000000"/>
                <w:sz w:val="22"/>
                <w:szCs w:val="22"/>
                <w:lang w:val="en-IE"/>
              </w:rPr>
              <w:t>is in progress and will set the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future direction of </w:t>
            </w:r>
            <w:r w:rsidR="00E57430">
              <w:rPr>
                <w:rFonts w:ascii="Lato" w:hAnsi="Lato"/>
                <w:color w:val="000000"/>
                <w:sz w:val="22"/>
                <w:szCs w:val="22"/>
                <w:lang w:val="en-IE"/>
              </w:rPr>
              <w:t>the program</w:t>
            </w:r>
            <w:r w:rsidR="00525E62">
              <w:rPr>
                <w:rFonts w:ascii="Lato" w:hAnsi="Lato"/>
                <w:color w:val="000000"/>
                <w:sz w:val="22"/>
                <w:szCs w:val="22"/>
                <w:lang w:val="en-IE"/>
              </w:rPr>
              <w:t>me</w:t>
            </w:r>
            <w:r w:rsidR="00E57430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</w:t>
            </w:r>
            <w:r w:rsidR="001D0F6C">
              <w:rPr>
                <w:rFonts w:ascii="Lato" w:hAnsi="Lato"/>
                <w:color w:val="000000"/>
                <w:sz w:val="22"/>
                <w:szCs w:val="22"/>
                <w:lang w:val="en-IE"/>
              </w:rPr>
              <w:t>from 2025-2029</w:t>
            </w:r>
            <w:r w:rsidRPr="00235D14">
              <w:rPr>
                <w:rFonts w:ascii="Lato" w:hAnsi="Lato"/>
                <w:color w:val="000000"/>
                <w:sz w:val="22"/>
                <w:szCs w:val="22"/>
                <w:lang w:val="en-IE"/>
              </w:rPr>
              <w:t>.</w:t>
            </w:r>
          </w:p>
        </w:tc>
      </w:tr>
      <w:tr w:rsidR="00E9768F" w:rsidRPr="002A76CC" w14:paraId="67159DE5" w14:textId="77777777" w:rsidTr="00543A17">
        <w:trPr>
          <w:trHeight w:val="1275"/>
        </w:trPr>
        <w:tc>
          <w:tcPr>
            <w:tcW w:w="9498" w:type="dxa"/>
            <w:gridSpan w:val="2"/>
          </w:tcPr>
          <w:p w14:paraId="69DC3F10" w14:textId="77777777" w:rsidR="00FC67B6" w:rsidRPr="002A76CC" w:rsidRDefault="002B21C3" w:rsidP="002E21F6">
            <w:pPr>
              <w:tabs>
                <w:tab w:val="left" w:pos="2410"/>
              </w:tabs>
              <w:snapToGrid w:val="0"/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lastRenderedPageBreak/>
              <w:t>SCOPE OF ROLE</w:t>
            </w:r>
            <w:r w:rsidR="00174203" w:rsidRPr="002A76CC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</w:p>
          <w:p w14:paraId="416C4AE3" w14:textId="77777777" w:rsidR="009A6F48" w:rsidRPr="002A76CC" w:rsidRDefault="009A6F48" w:rsidP="002E21F6">
            <w:pPr>
              <w:tabs>
                <w:tab w:val="left" w:pos="2410"/>
              </w:tabs>
              <w:snapToGrid w:val="0"/>
              <w:spacing w:line="276" w:lineRule="auto"/>
              <w:rPr>
                <w:rFonts w:ascii="Lato" w:hAnsi="Lato" w:cs="Arial"/>
                <w:b/>
                <w:i/>
                <w:sz w:val="22"/>
                <w:szCs w:val="22"/>
              </w:rPr>
            </w:pPr>
          </w:p>
          <w:p w14:paraId="7281CCE4" w14:textId="77777777" w:rsidR="002E21F6" w:rsidRPr="00CA0DE6" w:rsidRDefault="009A6F48" w:rsidP="002E21F6">
            <w:pPr>
              <w:spacing w:before="27" w:line="276" w:lineRule="auto"/>
              <w:ind w:right="867"/>
              <w:rPr>
                <w:rFonts w:ascii="Lato" w:hAnsi="Lato"/>
                <w:color w:val="000000"/>
                <w:sz w:val="22"/>
                <w:szCs w:val="22"/>
                <w:lang w:val="en-IE"/>
              </w:rPr>
            </w:pPr>
            <w:r w:rsidRPr="00CA0DE6">
              <w:rPr>
                <w:rFonts w:ascii="Lato" w:hAnsi="Lato"/>
                <w:b/>
                <w:bCs/>
                <w:color w:val="000000"/>
                <w:sz w:val="22"/>
                <w:szCs w:val="22"/>
                <w:lang w:val="en-IE"/>
              </w:rPr>
              <w:t>Dimensions</w:t>
            </w:r>
            <w:r w:rsidRP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: Strategy and leadership, political engagement and change management</w:t>
            </w:r>
          </w:p>
          <w:p w14:paraId="651FE97A" w14:textId="0AE0CDE0" w:rsidR="009A6F48" w:rsidRDefault="002E21F6" w:rsidP="002E21F6">
            <w:pPr>
              <w:spacing w:before="27" w:line="276" w:lineRule="auto"/>
              <w:ind w:right="867"/>
              <w:rPr>
                <w:rFonts w:ascii="Lato" w:hAnsi="Lato"/>
                <w:color w:val="000000"/>
                <w:sz w:val="22"/>
                <w:szCs w:val="22"/>
                <w:lang w:val="en-IE"/>
              </w:rPr>
            </w:pPr>
            <w:r w:rsidRPr="00CA0DE6">
              <w:rPr>
                <w:rFonts w:ascii="Lato" w:hAnsi="Lato"/>
                <w:b/>
                <w:bCs/>
                <w:color w:val="000000"/>
                <w:sz w:val="22"/>
                <w:szCs w:val="22"/>
                <w:lang w:val="en-IE"/>
              </w:rPr>
              <w:t>Direct Reports</w:t>
            </w:r>
            <w:r w:rsidRP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:</w:t>
            </w:r>
            <w:r w:rsidR="009A6F48" w:rsidRP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Deputy Chief of Party, Programme Operations; </w:t>
            </w:r>
            <w:r w:rsidR="009A6F48" w:rsidRP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Education Director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;</w:t>
            </w:r>
            <w:r w:rsidR="009A6F48" w:rsidRP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Partnership &amp;</w:t>
            </w:r>
            <w:r w:rsidR="009A6F48" w:rsidRP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Program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me</w:t>
            </w:r>
            <w:r w:rsidR="009A6F48" w:rsidRP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Support Director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;</w:t>
            </w:r>
            <w:r w:rsidR="009A6F48" w:rsidRP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 xml:space="preserve"> </w:t>
            </w:r>
            <w:r w:rsidR="00CA0DE6">
              <w:rPr>
                <w:rFonts w:ascii="Lato" w:hAnsi="Lato"/>
                <w:color w:val="000000"/>
                <w:sz w:val="22"/>
                <w:szCs w:val="22"/>
                <w:lang w:val="en-IE"/>
              </w:rPr>
              <w:t>Strategy, Policy, Planning &amp; Learning Director; Evidence &amp; Information Management Director</w:t>
            </w:r>
          </w:p>
          <w:p w14:paraId="789E2C47" w14:textId="77777777" w:rsidR="00CA0DE6" w:rsidRPr="002A76CC" w:rsidRDefault="00CA0DE6" w:rsidP="002E21F6">
            <w:pPr>
              <w:spacing w:before="27" w:line="276" w:lineRule="auto"/>
              <w:ind w:right="867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E9768F" w:rsidRPr="002A76CC" w14:paraId="27958C15" w14:textId="77777777" w:rsidTr="00543A17">
        <w:tc>
          <w:tcPr>
            <w:tcW w:w="9498" w:type="dxa"/>
            <w:gridSpan w:val="2"/>
          </w:tcPr>
          <w:p w14:paraId="43574F01" w14:textId="77777777" w:rsidR="00290500" w:rsidRPr="002A76CC" w:rsidRDefault="002B21C3" w:rsidP="002E21F6">
            <w:pPr>
              <w:tabs>
                <w:tab w:val="left" w:pos="2977"/>
              </w:tabs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 xml:space="preserve">KEY AREAS OF </w:t>
            </w:r>
            <w:proofErr w:type="gramStart"/>
            <w:r w:rsidR="00C978E6" w:rsidRPr="002A76CC">
              <w:rPr>
                <w:rFonts w:ascii="Lato" w:hAnsi="Lato" w:cs="Arial"/>
                <w:b/>
                <w:sz w:val="22"/>
                <w:szCs w:val="22"/>
              </w:rPr>
              <w:t xml:space="preserve">ACCOUNTABILITY </w:t>
            </w:r>
            <w:r w:rsidRPr="002A76CC">
              <w:rPr>
                <w:rFonts w:ascii="Lato" w:hAnsi="Lato" w:cs="Arial"/>
                <w:b/>
                <w:sz w:val="22"/>
                <w:szCs w:val="22"/>
              </w:rPr>
              <w:t>:</w:t>
            </w:r>
            <w:proofErr w:type="gramEnd"/>
            <w:r w:rsidR="00D64C59" w:rsidRPr="002A76C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077EBA06" w14:textId="77777777" w:rsidR="00331006" w:rsidRPr="002A76CC" w:rsidRDefault="00331006" w:rsidP="002E21F6">
            <w:pPr>
              <w:tabs>
                <w:tab w:val="left" w:pos="2977"/>
              </w:tabs>
              <w:spacing w:line="276" w:lineRule="auto"/>
              <w:rPr>
                <w:rFonts w:ascii="Lato" w:hAnsi="Lato" w:cs="Arial"/>
                <w:b/>
                <w:i/>
                <w:sz w:val="22"/>
                <w:szCs w:val="22"/>
              </w:rPr>
            </w:pPr>
          </w:p>
          <w:p w14:paraId="23B337CC" w14:textId="77777777" w:rsidR="009A6F48" w:rsidRPr="002A76CC" w:rsidRDefault="00E9768F" w:rsidP="002E21F6">
            <w:pPr>
              <w:tabs>
                <w:tab w:val="left" w:pos="2977"/>
              </w:tabs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Strategy and Leadership</w:t>
            </w:r>
          </w:p>
          <w:p w14:paraId="2D7048C1" w14:textId="059D4D5F" w:rsidR="00E9768F" w:rsidRPr="002A76CC" w:rsidRDefault="00E9768F" w:rsidP="002E21F6">
            <w:pPr>
              <w:pStyle w:val="ListParagraph"/>
              <w:numPr>
                <w:ilvl w:val="0"/>
                <w:numId w:val="37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Lead the overall strategic direction and implementation of the </w:t>
            </w:r>
            <w:proofErr w:type="gramStart"/>
            <w:r w:rsidR="00B01A04">
              <w:rPr>
                <w:rFonts w:ascii="Lato" w:hAnsi="Lato" w:cs="Arial"/>
                <w:sz w:val="22"/>
                <w:szCs w:val="22"/>
              </w:rPr>
              <w:t>programme</w:t>
            </w:r>
            <w:r w:rsidR="00B01A04" w:rsidRPr="002A76CC">
              <w:rPr>
                <w:rFonts w:ascii="Lato" w:hAnsi="Lato" w:cs="Arial"/>
                <w:sz w:val="22"/>
                <w:szCs w:val="22"/>
              </w:rPr>
              <w:t>,</w:t>
            </w:r>
            <w:r w:rsidR="00B01A04">
              <w:rPr>
                <w:rFonts w:ascii="Lato" w:hAnsi="Lato" w:cs="Arial"/>
                <w:sz w:val="22"/>
                <w:szCs w:val="22"/>
              </w:rPr>
              <w:t>;</w:t>
            </w:r>
            <w:proofErr w:type="gramEnd"/>
            <w:r w:rsidR="00B01A04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identifying opportunities, promoting growth and maintaining the position of </w:t>
            </w:r>
            <w:r w:rsidR="00E57430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BF17CE">
              <w:rPr>
                <w:rFonts w:ascii="Lato" w:hAnsi="Lato" w:cs="Arial"/>
                <w:sz w:val="22"/>
                <w:szCs w:val="22"/>
              </w:rPr>
              <w:t>consortium</w:t>
            </w:r>
            <w:r w:rsidR="00E57430" w:rsidRPr="002A7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as a leader in the field. This includes leading the process of strategic review and visioning to make recommendations to the Steering Committee on future</w:t>
            </w:r>
            <w:r w:rsidR="00331006" w:rsidRPr="002A76CC">
              <w:rPr>
                <w:rFonts w:ascii="Lato" w:hAnsi="Lato" w:cs="Arial"/>
                <w:sz w:val="22"/>
                <w:szCs w:val="22"/>
              </w:rPr>
              <w:t xml:space="preserve"> direction.</w:t>
            </w:r>
          </w:p>
          <w:p w14:paraId="47A3DE11" w14:textId="6D46BDB3" w:rsidR="00331006" w:rsidRPr="002A76CC" w:rsidRDefault="00331006" w:rsidP="002E21F6">
            <w:pPr>
              <w:pStyle w:val="ListParagraph"/>
              <w:numPr>
                <w:ilvl w:val="0"/>
                <w:numId w:val="37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Accountable for the effective governance and management arrangements, </w:t>
            </w:r>
            <w:r w:rsidR="00D802AC">
              <w:rPr>
                <w:rFonts w:ascii="Lato" w:hAnsi="Lato" w:cs="Arial"/>
                <w:sz w:val="22"/>
                <w:szCs w:val="22"/>
              </w:rPr>
              <w:t>leading</w:t>
            </w:r>
            <w:r w:rsidR="00D802AC" w:rsidRPr="002A7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regular meetings with the Steering Committee and ensuring they engage with and support the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me.</w:t>
            </w:r>
          </w:p>
          <w:p w14:paraId="748B16BA" w14:textId="32FB7821" w:rsidR="00331006" w:rsidRPr="002A76CC" w:rsidRDefault="00331006" w:rsidP="002E21F6">
            <w:pPr>
              <w:pStyle w:val="ListParagraph"/>
              <w:numPr>
                <w:ilvl w:val="0"/>
                <w:numId w:val="37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Represent the </w:t>
            </w:r>
            <w:r w:rsidR="00BF17CE">
              <w:rPr>
                <w:rFonts w:ascii="Lato" w:hAnsi="Lato" w:cs="Arial"/>
                <w:sz w:val="22"/>
                <w:szCs w:val="22"/>
              </w:rPr>
              <w:t>consortium</w:t>
            </w:r>
            <w:r w:rsidR="004A0467" w:rsidRPr="002A7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with existing and potential donors, raising the profile and securing additional funds for implementation </w:t>
            </w:r>
            <w:r w:rsidR="00D802AC">
              <w:rPr>
                <w:rFonts w:ascii="Lato" w:hAnsi="Lato" w:cs="Arial"/>
                <w:sz w:val="22"/>
                <w:szCs w:val="22"/>
              </w:rPr>
              <w:t>against</w:t>
            </w:r>
            <w:r w:rsidR="00D802AC" w:rsidRPr="002A7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the</w:t>
            </w:r>
            <w:r w:rsidR="00D802AC">
              <w:rPr>
                <w:rFonts w:ascii="Lato" w:hAnsi="Lato" w:cs="Arial"/>
                <w:sz w:val="22"/>
                <w:szCs w:val="22"/>
              </w:rPr>
              <w:t xml:space="preserve"> existing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strategy</w:t>
            </w:r>
            <w:r w:rsidR="00D802AC">
              <w:rPr>
                <w:rFonts w:ascii="Lato" w:hAnsi="Lato" w:cs="Arial"/>
                <w:sz w:val="22"/>
                <w:szCs w:val="22"/>
              </w:rPr>
              <w:t xml:space="preserve"> and support for the programme beyond the current strategic period (Phase 3)</w:t>
            </w:r>
          </w:p>
          <w:p w14:paraId="16F3D4A2" w14:textId="4BABA5C7" w:rsidR="00331006" w:rsidRPr="002A76CC" w:rsidRDefault="00331006" w:rsidP="002E21F6">
            <w:pPr>
              <w:pStyle w:val="ListParagraph"/>
              <w:numPr>
                <w:ilvl w:val="0"/>
                <w:numId w:val="37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Lead the management team, including holding regular senior management meetings and engaging national staff </w:t>
            </w:r>
            <w:r w:rsidR="00D802AC">
              <w:rPr>
                <w:rFonts w:ascii="Lato" w:hAnsi="Lato" w:cs="Arial"/>
                <w:sz w:val="22"/>
                <w:szCs w:val="22"/>
              </w:rPr>
              <w:t xml:space="preserve">and partners </w:t>
            </w:r>
            <w:r w:rsidRPr="002A76CC">
              <w:rPr>
                <w:rFonts w:ascii="Lato" w:hAnsi="Lato" w:cs="Arial"/>
                <w:sz w:val="22"/>
                <w:szCs w:val="22"/>
              </w:rPr>
              <w:t>in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strategy and decision making</w:t>
            </w:r>
            <w:r w:rsidR="00D802A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2D37448C" w14:textId="68F6A073" w:rsidR="00331006" w:rsidRPr="002A76CC" w:rsidRDefault="00331006" w:rsidP="002E21F6">
            <w:pPr>
              <w:pStyle w:val="ListParagraph"/>
              <w:numPr>
                <w:ilvl w:val="0"/>
                <w:numId w:val="37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Build a strong team culture, cooperative team dynamics and professional development opportunities to retain a highly motivated and skilled team</w:t>
            </w:r>
            <w:r w:rsidR="00D802A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3C4D719F" w14:textId="77777777" w:rsidR="00331006" w:rsidRPr="002A76CC" w:rsidRDefault="00331006" w:rsidP="002E21F6">
            <w:pPr>
              <w:pStyle w:val="ListParagraph"/>
              <w:numPr>
                <w:ilvl w:val="0"/>
                <w:numId w:val="37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Promote a culture of national staff empowerment, including identifying and supporting pathways for national staff to take on increasingly senior roles.</w:t>
            </w:r>
          </w:p>
          <w:p w14:paraId="020CB489" w14:textId="2D38E011" w:rsidR="00331006" w:rsidRPr="002A76CC" w:rsidRDefault="00331006" w:rsidP="002E21F6">
            <w:pPr>
              <w:pStyle w:val="ListParagraph"/>
              <w:numPr>
                <w:ilvl w:val="0"/>
                <w:numId w:val="37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Ensure that the team is appropriately resourced and structured to effectively deliver the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me.</w:t>
            </w:r>
          </w:p>
          <w:p w14:paraId="3C76A218" w14:textId="77777777" w:rsidR="00331006" w:rsidRPr="002A76CC" w:rsidRDefault="00331006" w:rsidP="002E21F6">
            <w:p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  <w:p w14:paraId="2E3540A6" w14:textId="587654EF" w:rsidR="00331006" w:rsidRPr="002A76CC" w:rsidRDefault="00331006" w:rsidP="002E21F6">
            <w:pPr>
              <w:tabs>
                <w:tab w:val="left" w:pos="2977"/>
              </w:tabs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 xml:space="preserve">Facilitating </w:t>
            </w:r>
            <w:r w:rsidR="009F45ED">
              <w:rPr>
                <w:rFonts w:ascii="Lato" w:hAnsi="Lato" w:cs="Arial"/>
                <w:b/>
                <w:sz w:val="22"/>
                <w:szCs w:val="22"/>
              </w:rPr>
              <w:t>Stakeholder</w:t>
            </w:r>
            <w:r w:rsidR="009F45ED" w:rsidRPr="002A76C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b/>
                <w:sz w:val="22"/>
                <w:szCs w:val="22"/>
              </w:rPr>
              <w:t>Engagement and Transformational Change</w:t>
            </w:r>
          </w:p>
          <w:p w14:paraId="4BFDE730" w14:textId="4EA54A03" w:rsidR="00331006" w:rsidRPr="002A76CC" w:rsidRDefault="00331006" w:rsidP="002E21F6">
            <w:pPr>
              <w:pStyle w:val="ListParagraph"/>
              <w:numPr>
                <w:ilvl w:val="0"/>
                <w:numId w:val="38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Build strong relations with ethnic, religious and civil society leaders and organisations, </w:t>
            </w:r>
            <w:r w:rsidR="00D802AC">
              <w:rPr>
                <w:rFonts w:ascii="Lato" w:hAnsi="Lato" w:cs="Arial"/>
                <w:sz w:val="22"/>
                <w:szCs w:val="22"/>
              </w:rPr>
              <w:t>and other key stakeholders within the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sector to build trust and promote collective action to address barriers to quality education in complementary systems</w:t>
            </w:r>
            <w:r w:rsidR="00D802A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669AEFD5" w14:textId="410E2A31" w:rsidR="00331006" w:rsidRPr="002A76CC" w:rsidRDefault="00331006" w:rsidP="002E21F6">
            <w:pPr>
              <w:pStyle w:val="ListParagraph"/>
              <w:numPr>
                <w:ilvl w:val="0"/>
                <w:numId w:val="38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Lead the ongoing process of political economy and conflict analysis, ensuring that the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is grounded in a sound understanding of political reality and conflict dynamics, actively engaging with context to support local stakeholders to work together for positive change, and ensuring that the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</w:t>
            </w:r>
            <w:proofErr w:type="gramStart"/>
            <w:r w:rsidRPr="002A76CC">
              <w:rPr>
                <w:rFonts w:ascii="Lato" w:hAnsi="Lato" w:cs="Arial"/>
                <w:sz w:val="22"/>
                <w:szCs w:val="22"/>
              </w:rPr>
              <w:t>is able to</w:t>
            </w:r>
            <w:proofErr w:type="gramEnd"/>
            <w:r w:rsidRPr="002A76CC">
              <w:rPr>
                <w:rFonts w:ascii="Lato" w:hAnsi="Lato" w:cs="Arial"/>
                <w:sz w:val="22"/>
                <w:szCs w:val="22"/>
              </w:rPr>
              <w:t xml:space="preserve"> respond to changes in the operating environment.</w:t>
            </w:r>
          </w:p>
          <w:p w14:paraId="60EF9E96" w14:textId="3615323A" w:rsidR="00331006" w:rsidRPr="002A76CC" w:rsidRDefault="00B546DF" w:rsidP="002E21F6">
            <w:pPr>
              <w:pStyle w:val="ListParagraph"/>
              <w:numPr>
                <w:ilvl w:val="0"/>
                <w:numId w:val="38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Engage directly </w:t>
            </w:r>
            <w:r w:rsidR="00D802AC">
              <w:rPr>
                <w:rFonts w:ascii="Lato" w:hAnsi="Lato" w:cs="Arial"/>
                <w:sz w:val="22"/>
                <w:szCs w:val="22"/>
              </w:rPr>
              <w:t xml:space="preserve">in </w:t>
            </w:r>
            <w:r w:rsidRPr="002A76CC">
              <w:rPr>
                <w:rFonts w:ascii="Lato" w:hAnsi="Lato" w:cs="Arial"/>
                <w:sz w:val="22"/>
                <w:szCs w:val="22"/>
              </w:rPr>
              <w:t>policy discussions and stakeholder dialogue, facilitating stakeholders to find common ground and find practical ways to overcome challenges</w:t>
            </w:r>
            <w:r w:rsidR="00D802A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63A3C305" w14:textId="22C64B93" w:rsidR="00B546DF" w:rsidRPr="002A76CC" w:rsidRDefault="00B546DF" w:rsidP="002E21F6">
            <w:pPr>
              <w:pStyle w:val="ListParagraph"/>
              <w:numPr>
                <w:ilvl w:val="0"/>
                <w:numId w:val="38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Represent </w:t>
            </w:r>
            <w:r w:rsidR="004A0467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E57430">
              <w:rPr>
                <w:rFonts w:ascii="Lato" w:hAnsi="Lato" w:cs="Arial"/>
                <w:sz w:val="22"/>
                <w:szCs w:val="22"/>
              </w:rPr>
              <w:t>consortium</w:t>
            </w:r>
            <w:r w:rsidR="004A0467" w:rsidRPr="002A7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within the education sector, building strong awareness of the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and key issues on complementary education, and building collaborative relationships with other development partner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>s</w:t>
            </w:r>
            <w:r w:rsidR="00D802A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1C7D918D" w14:textId="4E7B51F3" w:rsidR="00B546DF" w:rsidRDefault="00B546DF" w:rsidP="002E21F6">
            <w:pPr>
              <w:pStyle w:val="ListParagraph"/>
              <w:numPr>
                <w:ilvl w:val="0"/>
                <w:numId w:val="38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lastRenderedPageBreak/>
              <w:t>Build strong networks with other education, governance and peace building organisations and experts, to ensure that the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is able to access specialised </w:t>
            </w:r>
            <w:proofErr w:type="gramStart"/>
            <w:r w:rsidRPr="002A76CC">
              <w:rPr>
                <w:rFonts w:ascii="Lato" w:hAnsi="Lato" w:cs="Arial"/>
                <w:sz w:val="22"/>
                <w:szCs w:val="22"/>
              </w:rPr>
              <w:t>support, and</w:t>
            </w:r>
            <w:proofErr w:type="gramEnd"/>
            <w:r w:rsidRPr="002A76CC">
              <w:rPr>
                <w:rFonts w:ascii="Lato" w:hAnsi="Lato" w:cs="Arial"/>
                <w:sz w:val="22"/>
                <w:szCs w:val="22"/>
              </w:rPr>
              <w:t xml:space="preserve"> respond to emerging opportunities</w:t>
            </w:r>
            <w:r w:rsidR="00D802A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54DBC6DF" w14:textId="77777777" w:rsidR="00D802AC" w:rsidRPr="002A76CC" w:rsidRDefault="00D802AC" w:rsidP="00A128A0">
            <w:pPr>
              <w:pStyle w:val="ListParagraph"/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  <w:p w14:paraId="184595EF" w14:textId="305A886C" w:rsidR="00B546DF" w:rsidRPr="002A76CC" w:rsidRDefault="00B546DF" w:rsidP="002E21F6">
            <w:pPr>
              <w:tabs>
                <w:tab w:val="left" w:pos="2977"/>
              </w:tabs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Program</w:t>
            </w:r>
            <w:r w:rsidR="00D802AC">
              <w:rPr>
                <w:rFonts w:ascii="Lato" w:hAnsi="Lato" w:cs="Arial"/>
                <w:b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b/>
                <w:sz w:val="22"/>
                <w:szCs w:val="22"/>
              </w:rPr>
              <w:t xml:space="preserve"> Management</w:t>
            </w:r>
          </w:p>
          <w:p w14:paraId="40959EC8" w14:textId="2C4DFE00" w:rsidR="00B546DF" w:rsidRPr="002A76CC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Responsible for overall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development, administration, and supervision of the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me.</w:t>
            </w:r>
          </w:p>
          <w:p w14:paraId="46F937E5" w14:textId="4EA71F0F" w:rsidR="009A6F48" w:rsidRPr="002A76CC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Lead collaborative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planning and coordination across teams to ensure effective collaboration,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approaches, activity planning and communication</w:t>
            </w:r>
            <w:r w:rsidR="00D802A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61E232D7" w14:textId="1892EB25" w:rsidR="00B546DF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Maintain oversight over core functions of the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education systems strengthening approaches, partnership approaches,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monitoring</w:t>
            </w:r>
            <w:r w:rsidR="00D802AC">
              <w:rPr>
                <w:rFonts w:ascii="Lato" w:hAnsi="Lato" w:cs="Arial"/>
                <w:sz w:val="22"/>
                <w:szCs w:val="22"/>
              </w:rPr>
              <w:t>, evaluation, accountability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and learning, policy engagement and advocacy, communications, finance and grants management</w:t>
            </w:r>
            <w:r w:rsidR="00D802A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02789E6F" w14:textId="5CB51BAF" w:rsidR="001E74E0" w:rsidRPr="00A128A0" w:rsidRDefault="001E74E0" w:rsidP="001E74E0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Ensure staff adhere to </w:t>
            </w:r>
            <w:r w:rsidR="00A43A43">
              <w:rPr>
                <w:rFonts w:ascii="Lato" w:hAnsi="Lato" w:cs="Arial"/>
                <w:sz w:val="22"/>
                <w:szCs w:val="22"/>
              </w:rPr>
              <w:t>the programme’s</w:t>
            </w:r>
            <w:r w:rsidR="00A43A43">
              <w:rPr>
                <w:rFonts w:ascii="Lato" w:hAnsi="Lato" w:cs="Arial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sz w:val="22"/>
                <w:szCs w:val="22"/>
              </w:rPr>
              <w:t xml:space="preserve">partnership values and principles, promoting a partnership approach that </w:t>
            </w:r>
            <w:r w:rsidRPr="00AF66B3">
              <w:rPr>
                <w:rFonts w:ascii="Lato" w:hAnsi="Lato" w:cs="Arial"/>
                <w:sz w:val="22"/>
                <w:szCs w:val="22"/>
              </w:rPr>
              <w:t xml:space="preserve">takes full advantage of the roles, knowledge, skills, reach, and experience that each partner and </w:t>
            </w:r>
            <w:r w:rsidR="00A43A43">
              <w:rPr>
                <w:rFonts w:ascii="Lato" w:hAnsi="Lato" w:cs="Arial"/>
                <w:sz w:val="22"/>
                <w:szCs w:val="22"/>
              </w:rPr>
              <w:t>the programme</w:t>
            </w:r>
            <w:r w:rsidR="00A43A43" w:rsidRPr="00AF66B3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AF66B3">
              <w:rPr>
                <w:rFonts w:ascii="Lato" w:hAnsi="Lato" w:cs="Arial"/>
                <w:sz w:val="22"/>
                <w:szCs w:val="22"/>
              </w:rPr>
              <w:t>offer each other</w:t>
            </w:r>
            <w:r>
              <w:rPr>
                <w:rFonts w:ascii="Lato" w:hAnsi="Lato" w:cs="Arial"/>
                <w:sz w:val="22"/>
                <w:szCs w:val="22"/>
              </w:rPr>
              <w:t xml:space="preserve"> and promotes partner </w:t>
            </w:r>
            <w:r w:rsidRPr="00AF66B3">
              <w:rPr>
                <w:rFonts w:ascii="Lato" w:hAnsi="Lato" w:cs="Arial"/>
                <w:sz w:val="22"/>
                <w:szCs w:val="22"/>
              </w:rPr>
              <w:t>influence in decision-making, supporting positive changes, and reinforcing sustainability beyond the program</w:t>
            </w:r>
            <w:r>
              <w:rPr>
                <w:rFonts w:ascii="Lato" w:hAnsi="Lato" w:cs="Arial"/>
                <w:sz w:val="22"/>
                <w:szCs w:val="22"/>
              </w:rPr>
              <w:t>me</w:t>
            </w:r>
            <w:r w:rsidRPr="00AF66B3">
              <w:rPr>
                <w:rFonts w:ascii="Lato" w:hAnsi="Lato" w:cs="Arial"/>
                <w:sz w:val="22"/>
                <w:szCs w:val="22"/>
              </w:rPr>
              <w:t xml:space="preserve">. </w:t>
            </w:r>
          </w:p>
          <w:p w14:paraId="3DC55C77" w14:textId="6634AC71" w:rsidR="00B546DF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Ensure that key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approaches – conflict sensitivity and peace building, innovation and learning, iterative adaptation, thinking and working politically, child safeguarding, gender</w:t>
            </w:r>
            <w:r w:rsidR="00D802AC">
              <w:rPr>
                <w:rFonts w:ascii="Lato" w:hAnsi="Lato" w:cs="Arial"/>
                <w:sz w:val="22"/>
                <w:szCs w:val="22"/>
              </w:rPr>
              <w:t xml:space="preserve"> equality,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disability</w:t>
            </w:r>
            <w:r w:rsidR="00D802AC">
              <w:rPr>
                <w:rFonts w:ascii="Lato" w:hAnsi="Lato" w:cs="Arial"/>
                <w:sz w:val="22"/>
                <w:szCs w:val="22"/>
              </w:rPr>
              <w:t xml:space="preserve"> and social inclusion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are integrated into the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me.</w:t>
            </w:r>
          </w:p>
          <w:p w14:paraId="57790C75" w14:textId="7B30EABD" w:rsidR="00B546DF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Ensure that the program</w:t>
            </w:r>
            <w:r w:rsidR="00D802AC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has an appropriate operational platform and policy framework to operate, actively analysing and managing risks</w:t>
            </w:r>
            <w:r w:rsidR="00D802A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59DFCC6E" w14:textId="64B0C2C7" w:rsidR="00B546DF" w:rsidRPr="002A76CC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Lead management recommendations for </w:t>
            </w:r>
            <w:r w:rsidR="00AC797D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9B56E3">
              <w:rPr>
                <w:rFonts w:ascii="Lato" w:hAnsi="Lato" w:cs="Arial"/>
                <w:sz w:val="22"/>
                <w:szCs w:val="22"/>
              </w:rPr>
              <w:t>programme</w:t>
            </w:r>
            <w:r w:rsidR="00756A39">
              <w:rPr>
                <w:rFonts w:ascii="Lato" w:hAnsi="Lato" w:cs="Arial"/>
                <w:sz w:val="22"/>
                <w:szCs w:val="22"/>
              </w:rPr>
              <w:t>’s</w:t>
            </w:r>
            <w:r w:rsidR="009B56E3">
              <w:rPr>
                <w:rFonts w:ascii="Lato" w:hAnsi="Lato" w:cs="Arial"/>
                <w:sz w:val="22"/>
                <w:szCs w:val="22"/>
              </w:rPr>
              <w:t xml:space="preserve"> strategic direction</w:t>
            </w:r>
            <w:r w:rsidR="009B56E3" w:rsidRPr="002A7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for presentation to the Steering Committee</w:t>
            </w:r>
            <w:r w:rsidR="00D802A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79B26F53" w14:textId="6C2D39FC" w:rsidR="00B546DF" w:rsidRPr="002A76CC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Ensure </w:t>
            </w:r>
            <w:r w:rsidR="00D51371">
              <w:rPr>
                <w:rFonts w:ascii="Lato" w:hAnsi="Lato" w:cs="Arial"/>
                <w:sz w:val="22"/>
                <w:szCs w:val="22"/>
              </w:rPr>
              <w:t xml:space="preserve">programme </w:t>
            </w:r>
            <w:r w:rsidR="00D46539">
              <w:rPr>
                <w:rFonts w:ascii="Lato" w:hAnsi="Lato" w:cs="Arial"/>
                <w:sz w:val="22"/>
                <w:szCs w:val="22"/>
              </w:rPr>
              <w:t xml:space="preserve">teams and 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partners are implementing project </w:t>
            </w:r>
            <w:r w:rsidR="00D46539">
              <w:rPr>
                <w:rFonts w:ascii="Lato" w:hAnsi="Lato" w:cs="Arial"/>
                <w:sz w:val="22"/>
                <w:szCs w:val="22"/>
              </w:rPr>
              <w:t xml:space="preserve">activities 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according to the agreed </w:t>
            </w:r>
            <w:r w:rsidR="00D46539">
              <w:rPr>
                <w:rFonts w:ascii="Lato" w:hAnsi="Lato" w:cs="Arial"/>
                <w:sz w:val="22"/>
                <w:szCs w:val="22"/>
              </w:rPr>
              <w:t>annual operating plans to the extent possible within the context.</w:t>
            </w:r>
          </w:p>
          <w:p w14:paraId="4D65BB69" w14:textId="4EDBC30C" w:rsidR="00B546DF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Maintain oversight of performance and delivery and ensure timely quality reporting on performance to the Steering Committee</w:t>
            </w:r>
            <w:r w:rsidR="00D46539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40D83B7E" w14:textId="21B8E83F" w:rsidR="002D6EA6" w:rsidRPr="002A76CC" w:rsidRDefault="002D6EA6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Ensure donor compliance requirements are met.</w:t>
            </w:r>
          </w:p>
          <w:p w14:paraId="52D39983" w14:textId="347F43D0" w:rsidR="00B546DF" w:rsidRPr="002A76CC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Oversight of the program</w:t>
            </w:r>
            <w:r w:rsidR="00D46539">
              <w:rPr>
                <w:rFonts w:ascii="Lato" w:hAnsi="Lato" w:cs="Arial"/>
                <w:sz w:val="22"/>
                <w:szCs w:val="22"/>
              </w:rPr>
              <w:t>me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budget, including budgetary planning and monitoring</w:t>
            </w:r>
            <w:r w:rsidR="00D46539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1AB525C9" w14:textId="2EB8BD2C" w:rsidR="00B546DF" w:rsidRPr="002A76CC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Oversight of the risk management process</w:t>
            </w:r>
            <w:r w:rsidR="00D46539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327758C7" w14:textId="701921CE" w:rsidR="009A6F48" w:rsidRPr="002A76CC" w:rsidRDefault="00B546DF" w:rsidP="002E21F6">
            <w:pPr>
              <w:pStyle w:val="ListParagraph"/>
              <w:numPr>
                <w:ilvl w:val="0"/>
                <w:numId w:val="39"/>
              </w:numPr>
              <w:tabs>
                <w:tab w:val="left" w:pos="2977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Oversight of strategic planning process</w:t>
            </w:r>
            <w:r w:rsidR="009B56E3">
              <w:rPr>
                <w:rFonts w:ascii="Lato" w:hAnsi="Lato" w:cs="Arial"/>
                <w:sz w:val="22"/>
                <w:szCs w:val="22"/>
              </w:rPr>
              <w:t>es</w:t>
            </w:r>
            <w:r w:rsidR="00D46539">
              <w:rPr>
                <w:rFonts w:ascii="Lato" w:hAnsi="Lato" w:cs="Arial"/>
                <w:sz w:val="22"/>
                <w:szCs w:val="22"/>
              </w:rPr>
              <w:t>.</w:t>
            </w:r>
          </w:p>
        </w:tc>
      </w:tr>
      <w:tr w:rsidR="00E9768F" w:rsidRPr="002A76CC" w14:paraId="1F7065D0" w14:textId="77777777" w:rsidTr="00543A17">
        <w:tc>
          <w:tcPr>
            <w:tcW w:w="9498" w:type="dxa"/>
            <w:gridSpan w:val="2"/>
          </w:tcPr>
          <w:p w14:paraId="2F2BC78A" w14:textId="77777777" w:rsidR="008264D8" w:rsidRPr="002A76CC" w:rsidRDefault="008264D8" w:rsidP="002E21F6">
            <w:pPr>
              <w:snapToGrid w:val="0"/>
              <w:spacing w:line="276" w:lineRule="auto"/>
              <w:ind w:left="-24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lastRenderedPageBreak/>
              <w:t>BEHAVIOURS (Values in Practice</w:t>
            </w:r>
            <w:r w:rsidRPr="002A76CC">
              <w:rPr>
                <w:rFonts w:ascii="Lato" w:hAnsi="Lato" w:cs="Arial"/>
                <w:sz w:val="22"/>
                <w:szCs w:val="22"/>
              </w:rPr>
              <w:t>)</w:t>
            </w:r>
          </w:p>
          <w:p w14:paraId="3D92BEAB" w14:textId="77777777" w:rsidR="008264D8" w:rsidRPr="002A76CC" w:rsidRDefault="008264D8" w:rsidP="002E21F6">
            <w:pPr>
              <w:spacing w:line="276" w:lineRule="auto"/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Accountability:</w:t>
            </w:r>
          </w:p>
          <w:p w14:paraId="41A96F2D" w14:textId="77777777" w:rsidR="008264D8" w:rsidRPr="002A76CC" w:rsidRDefault="008264D8" w:rsidP="002E21F6">
            <w:pPr>
              <w:numPr>
                <w:ilvl w:val="0"/>
                <w:numId w:val="30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holds </w:t>
            </w:r>
            <w:proofErr w:type="spellStart"/>
            <w:r w:rsidRPr="002A76CC">
              <w:rPr>
                <w:rFonts w:ascii="Lato" w:hAnsi="Lato" w:cs="Arial"/>
                <w:sz w:val="22"/>
                <w:szCs w:val="22"/>
              </w:rPr>
              <w:t>self accountable</w:t>
            </w:r>
            <w:proofErr w:type="spellEnd"/>
            <w:r w:rsidRPr="002A76CC">
              <w:rPr>
                <w:rFonts w:ascii="Lato" w:hAnsi="Lato" w:cs="Arial"/>
                <w:sz w:val="22"/>
                <w:szCs w:val="22"/>
              </w:rPr>
              <w:t xml:space="preserve"> for making decisions, managing resources efficiently, achieving and role modelling Save the Children values</w:t>
            </w:r>
          </w:p>
          <w:p w14:paraId="1C1AEF03" w14:textId="77777777" w:rsidR="008264D8" w:rsidRPr="002A76CC" w:rsidRDefault="008264D8" w:rsidP="002E21F6">
            <w:pPr>
              <w:numPr>
                <w:ilvl w:val="0"/>
                <w:numId w:val="30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504FFB83" w14:textId="77777777" w:rsidR="008264D8" w:rsidRPr="002A76CC" w:rsidRDefault="008264D8" w:rsidP="002E21F6">
            <w:pPr>
              <w:spacing w:line="276" w:lineRule="auto"/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Ambition:</w:t>
            </w:r>
          </w:p>
          <w:p w14:paraId="2770BDFD" w14:textId="77777777" w:rsidR="008264D8" w:rsidRPr="002A76CC" w:rsidRDefault="008264D8" w:rsidP="002E21F6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2B354DE1" w14:textId="77777777" w:rsidR="008264D8" w:rsidRPr="002A76CC" w:rsidRDefault="008264D8" w:rsidP="002E21F6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lastRenderedPageBreak/>
              <w:t>widely shares their personal vision for Save the Children, engages and motivates others</w:t>
            </w:r>
          </w:p>
          <w:p w14:paraId="36F988B4" w14:textId="77777777" w:rsidR="008264D8" w:rsidRPr="002A76CC" w:rsidRDefault="008264D8" w:rsidP="002E21F6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future orientated, thinks strategically and on a global scale.</w:t>
            </w:r>
          </w:p>
          <w:p w14:paraId="1DFE44AC" w14:textId="77777777" w:rsidR="008264D8" w:rsidRPr="002A76CC" w:rsidRDefault="008264D8" w:rsidP="002E21F6">
            <w:pPr>
              <w:spacing w:line="276" w:lineRule="auto"/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Collaboration:</w:t>
            </w:r>
          </w:p>
          <w:p w14:paraId="3E9D47D0" w14:textId="77777777" w:rsidR="008264D8" w:rsidRPr="002A76CC" w:rsidRDefault="008264D8" w:rsidP="002E21F6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builds and maintains effective relationships, with their team, colleagues, Members and external partners and supporters</w:t>
            </w:r>
          </w:p>
          <w:p w14:paraId="32D8BB6C" w14:textId="77777777" w:rsidR="008264D8" w:rsidRPr="002A76CC" w:rsidRDefault="008264D8" w:rsidP="002E21F6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values diversity, sees it as a source of competitive strength</w:t>
            </w:r>
          </w:p>
          <w:p w14:paraId="3F9AF54D" w14:textId="77777777" w:rsidR="008264D8" w:rsidRPr="002A76CC" w:rsidRDefault="008264D8" w:rsidP="002E21F6">
            <w:pPr>
              <w:numPr>
                <w:ilvl w:val="0"/>
                <w:numId w:val="29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approachable, good listener, easy to talk to.</w:t>
            </w:r>
          </w:p>
          <w:p w14:paraId="36C1675C" w14:textId="77777777" w:rsidR="008264D8" w:rsidRPr="002A76CC" w:rsidRDefault="008264D8" w:rsidP="002E21F6">
            <w:pPr>
              <w:spacing w:line="276" w:lineRule="auto"/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Creativity:</w:t>
            </w:r>
          </w:p>
          <w:p w14:paraId="34A70CD7" w14:textId="77777777" w:rsidR="008264D8" w:rsidRPr="002A76CC" w:rsidRDefault="008264D8" w:rsidP="002E21F6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develops and encourages new and innovative solutions</w:t>
            </w:r>
          </w:p>
          <w:p w14:paraId="07A45479" w14:textId="77777777" w:rsidR="008264D8" w:rsidRPr="002A76CC" w:rsidRDefault="008264D8" w:rsidP="002E21F6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willing to take disciplined risks.</w:t>
            </w:r>
          </w:p>
          <w:p w14:paraId="46495A8E" w14:textId="77777777" w:rsidR="008264D8" w:rsidRPr="002A76CC" w:rsidRDefault="008264D8" w:rsidP="002E21F6">
            <w:pPr>
              <w:spacing w:line="276" w:lineRule="auto"/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Integrity:</w:t>
            </w:r>
          </w:p>
          <w:p w14:paraId="0723E70F" w14:textId="77777777" w:rsidR="008264D8" w:rsidRPr="002A76CC" w:rsidRDefault="008264D8" w:rsidP="002E21F6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honest, encourages openness and transparency; demonstrates highest levels of integrity</w:t>
            </w:r>
          </w:p>
          <w:p w14:paraId="0763EC64" w14:textId="77777777" w:rsidR="008264D8" w:rsidRPr="002A76CC" w:rsidRDefault="008264D8" w:rsidP="002E21F6">
            <w:pPr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E9768F" w:rsidRPr="002A76CC" w14:paraId="4E0F3FD0" w14:textId="77777777" w:rsidTr="00543A17">
        <w:tc>
          <w:tcPr>
            <w:tcW w:w="9498" w:type="dxa"/>
            <w:gridSpan w:val="2"/>
          </w:tcPr>
          <w:p w14:paraId="35FE99DB" w14:textId="77777777" w:rsidR="00E9768F" w:rsidRPr="002A76CC" w:rsidRDefault="00E9768F" w:rsidP="002E21F6">
            <w:pPr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lastRenderedPageBreak/>
              <w:t>QUALIFICATIONS, EXPERIENCE AND SKILLS</w:t>
            </w:r>
          </w:p>
          <w:p w14:paraId="0361305E" w14:textId="77777777" w:rsidR="002B21C3" w:rsidRPr="002A76CC" w:rsidRDefault="002B21C3" w:rsidP="002E21F6">
            <w:pPr>
              <w:spacing w:line="276" w:lineRule="auto"/>
              <w:rPr>
                <w:rFonts w:ascii="Lato" w:hAnsi="Lato" w:cs="Arial"/>
                <w:b/>
                <w:i/>
                <w:sz w:val="22"/>
                <w:szCs w:val="22"/>
              </w:rPr>
            </w:pPr>
          </w:p>
          <w:p w14:paraId="42893667" w14:textId="77777777" w:rsidR="009A6F48" w:rsidRPr="002A76CC" w:rsidRDefault="009A6F48" w:rsidP="002E21F6">
            <w:pPr>
              <w:spacing w:before="26" w:line="276" w:lineRule="auto"/>
              <w:ind w:right="5215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pacing w:val="1"/>
                <w:w w:val="96"/>
                <w:sz w:val="22"/>
                <w:szCs w:val="22"/>
              </w:rPr>
              <w:t>E</w:t>
            </w:r>
            <w:r w:rsidRPr="002A76CC">
              <w:rPr>
                <w:rFonts w:ascii="Lato" w:hAnsi="Lato" w:cs="Arial"/>
                <w:b/>
                <w:w w:val="118"/>
                <w:sz w:val="22"/>
                <w:szCs w:val="22"/>
              </w:rPr>
              <w:t>ssential</w:t>
            </w:r>
          </w:p>
          <w:p w14:paraId="24F8E65C" w14:textId="0F32DDB1" w:rsidR="009A6F48" w:rsidRPr="002A76CC" w:rsidRDefault="009A6F48" w:rsidP="002E21F6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At</w:t>
            </w:r>
            <w:r w:rsidRPr="002A76CC">
              <w:rPr>
                <w:rFonts w:ascii="Lato" w:hAnsi="Lato" w:cs="Arial"/>
                <w:spacing w:val="36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least 1</w:t>
            </w:r>
            <w:r w:rsidR="009B56E3">
              <w:rPr>
                <w:rFonts w:ascii="Lato" w:hAnsi="Lato" w:cs="Arial"/>
                <w:sz w:val="22"/>
                <w:szCs w:val="22"/>
              </w:rPr>
              <w:t>2</w:t>
            </w:r>
            <w:r w:rsidRPr="002A76CC">
              <w:rPr>
                <w:rFonts w:ascii="Lato" w:hAnsi="Lato" w:cs="Arial"/>
                <w:spacing w:val="21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years' senior leadership </w:t>
            </w:r>
            <w:r w:rsidRPr="002A76CC">
              <w:rPr>
                <w:rFonts w:ascii="Lato" w:hAnsi="Lato" w:cs="Arial"/>
                <w:w w:val="113"/>
                <w:sz w:val="22"/>
                <w:szCs w:val="22"/>
              </w:rPr>
              <w:t>experience</w:t>
            </w:r>
            <w:r w:rsidRPr="002A76CC">
              <w:rPr>
                <w:rFonts w:ascii="Lato" w:hAnsi="Lato" w:cs="Arial"/>
                <w:spacing w:val="15"/>
                <w:w w:val="113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in</w:t>
            </w:r>
            <w:r w:rsidRPr="002A76CC">
              <w:rPr>
                <w:rFonts w:ascii="Lato" w:hAnsi="Lato" w:cs="Arial"/>
                <w:spacing w:val="9"/>
                <w:sz w:val="22"/>
                <w:szCs w:val="22"/>
              </w:rPr>
              <w:t xml:space="preserve"> the field of international </w:t>
            </w:r>
            <w:r w:rsidRPr="002A76CC">
              <w:rPr>
                <w:rFonts w:ascii="Lato" w:hAnsi="Lato" w:cs="Arial"/>
                <w:sz w:val="22"/>
                <w:szCs w:val="22"/>
              </w:rPr>
              <w:t>development</w:t>
            </w:r>
            <w:r w:rsidRPr="002A76CC">
              <w:rPr>
                <w:rFonts w:ascii="Lato" w:hAnsi="Lato" w:cs="Arial"/>
                <w:w w:val="113"/>
                <w:sz w:val="22"/>
                <w:szCs w:val="22"/>
              </w:rPr>
              <w:t>,</w:t>
            </w:r>
            <w:r w:rsidRPr="002A76CC">
              <w:rPr>
                <w:rFonts w:ascii="Lato" w:hAnsi="Lato" w:cs="Arial"/>
                <w:spacing w:val="5"/>
                <w:w w:val="113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at least five years of which should have been based in developing countries</w:t>
            </w:r>
          </w:p>
          <w:p w14:paraId="7BAA2232" w14:textId="1B8C73AE" w:rsidR="009A6F48" w:rsidRPr="002A76CC" w:rsidRDefault="009A6F48" w:rsidP="002E21F6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At least five years’ Chief of Party/ Team Leader </w:t>
            </w:r>
            <w:r w:rsidR="009B56E3">
              <w:rPr>
                <w:rFonts w:ascii="Lato" w:hAnsi="Lato" w:cs="Arial"/>
                <w:sz w:val="22"/>
                <w:szCs w:val="22"/>
              </w:rPr>
              <w:t xml:space="preserve">/ Director </w:t>
            </w:r>
            <w:r w:rsidRPr="002A76CC">
              <w:rPr>
                <w:rFonts w:ascii="Lato" w:hAnsi="Lato" w:cs="Arial"/>
                <w:sz w:val="22"/>
                <w:szCs w:val="22"/>
              </w:rPr>
              <w:t>experience</w:t>
            </w:r>
          </w:p>
          <w:p w14:paraId="48EEE302" w14:textId="2D6F7A89" w:rsidR="002E21F6" w:rsidRPr="002A76CC" w:rsidRDefault="002E21F6" w:rsidP="002E21F6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Master’s degree in education, international development, management or </w:t>
            </w:r>
            <w:proofErr w:type="gramStart"/>
            <w:r w:rsidRPr="002A76CC">
              <w:rPr>
                <w:rFonts w:ascii="Lato" w:hAnsi="Lato" w:cs="Arial"/>
                <w:sz w:val="22"/>
                <w:szCs w:val="22"/>
              </w:rPr>
              <w:t>other</w:t>
            </w:r>
            <w:proofErr w:type="gramEnd"/>
            <w:r w:rsidRPr="002A76CC">
              <w:rPr>
                <w:rFonts w:ascii="Lato" w:hAnsi="Lato" w:cs="Arial"/>
                <w:sz w:val="22"/>
                <w:szCs w:val="22"/>
              </w:rPr>
              <w:t xml:space="preserve"> relevant subject</w:t>
            </w:r>
          </w:p>
          <w:p w14:paraId="2866028F" w14:textId="690B39A5" w:rsidR="009B56E3" w:rsidRPr="002A76CC" w:rsidRDefault="009B56E3" w:rsidP="009B56E3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Demonstrated e</w:t>
            </w:r>
            <w:r w:rsidRPr="002A7A0A">
              <w:rPr>
                <w:rFonts w:ascii="Lato" w:hAnsi="Lato" w:cs="Arial"/>
                <w:sz w:val="22"/>
                <w:szCs w:val="22"/>
              </w:rPr>
              <w:t xml:space="preserve">xperience </w:t>
            </w:r>
            <w:r>
              <w:rPr>
                <w:rFonts w:ascii="Lato" w:hAnsi="Lato" w:cs="Arial"/>
                <w:sz w:val="22"/>
                <w:szCs w:val="22"/>
              </w:rPr>
              <w:t>working in</w:t>
            </w:r>
            <w:r w:rsidRPr="002A7A0A">
              <w:rPr>
                <w:rFonts w:ascii="Lato" w:hAnsi="Lato" w:cs="Arial"/>
                <w:sz w:val="22"/>
                <w:szCs w:val="22"/>
              </w:rPr>
              <w:t xml:space="preserve"> partnership </w:t>
            </w:r>
            <w:r w:rsidRPr="002A76CC">
              <w:rPr>
                <w:rFonts w:ascii="Lato" w:hAnsi="Lato" w:cs="Arial"/>
                <w:sz w:val="22"/>
                <w:szCs w:val="22"/>
              </w:rPr>
              <w:t>with</w:t>
            </w:r>
            <w:r w:rsidRPr="002A7A0A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local</w:t>
            </w:r>
            <w:r w:rsidRPr="002A7A0A">
              <w:rPr>
                <w:rFonts w:ascii="Lato" w:hAnsi="Lato" w:cs="Arial"/>
                <w:sz w:val="22"/>
                <w:szCs w:val="22"/>
              </w:rPr>
              <w:t xml:space="preserve"> organisations</w:t>
            </w:r>
            <w:r>
              <w:rPr>
                <w:rFonts w:ascii="Lato" w:hAnsi="Lato" w:cs="Arial"/>
                <w:sz w:val="22"/>
                <w:szCs w:val="22"/>
              </w:rPr>
              <w:t xml:space="preserve"> and supporting localisation / </w:t>
            </w:r>
            <w:proofErr w:type="gramStart"/>
            <w:r>
              <w:rPr>
                <w:rFonts w:ascii="Lato" w:hAnsi="Lato" w:cs="Arial"/>
                <w:sz w:val="22"/>
                <w:szCs w:val="22"/>
              </w:rPr>
              <w:t>locally-led</w:t>
            </w:r>
            <w:proofErr w:type="gramEnd"/>
            <w:r>
              <w:rPr>
                <w:rFonts w:ascii="Lato" w:hAnsi="Lato" w:cs="Arial"/>
                <w:sz w:val="22"/>
                <w:szCs w:val="22"/>
              </w:rPr>
              <w:t xml:space="preserve"> development</w:t>
            </w:r>
          </w:p>
          <w:p w14:paraId="0F878D89" w14:textId="77777777" w:rsidR="009A6F48" w:rsidRPr="002A76CC" w:rsidRDefault="009A6F48" w:rsidP="006E3612">
            <w:pPr>
              <w:pStyle w:val="ListParagraph"/>
              <w:numPr>
                <w:ilvl w:val="0"/>
                <w:numId w:val="35"/>
              </w:numPr>
              <w:tabs>
                <w:tab w:val="left" w:pos="80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6E3612">
              <w:rPr>
                <w:rFonts w:ascii="Lato" w:hAnsi="Lato" w:cs="Arial"/>
                <w:sz w:val="22"/>
                <w:szCs w:val="22"/>
              </w:rPr>
              <w:t xml:space="preserve">Demonstrated experience </w:t>
            </w:r>
            <w:r w:rsidRPr="002A76CC">
              <w:rPr>
                <w:rFonts w:ascii="Lato" w:hAnsi="Lato" w:cs="Arial"/>
                <w:sz w:val="22"/>
                <w:szCs w:val="22"/>
              </w:rPr>
              <w:t>in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building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relations, finding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common ground </w:t>
            </w:r>
            <w:r w:rsidRPr="002A76CC">
              <w:rPr>
                <w:rFonts w:ascii="Lato" w:hAnsi="Lato" w:cs="Arial"/>
                <w:sz w:val="22"/>
                <w:szCs w:val="22"/>
              </w:rPr>
              <w:t>and influencing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different stakeholders </w:t>
            </w:r>
            <w:r w:rsidRPr="002A76CC">
              <w:rPr>
                <w:rFonts w:ascii="Lato" w:hAnsi="Lato" w:cs="Arial"/>
                <w:sz w:val="22"/>
                <w:szCs w:val="22"/>
              </w:rPr>
              <w:t>including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government, non-state actors, </w:t>
            </w:r>
            <w:r w:rsidRPr="002A76CC">
              <w:rPr>
                <w:rFonts w:ascii="Lato" w:hAnsi="Lato" w:cs="Arial"/>
                <w:sz w:val="22"/>
                <w:szCs w:val="22"/>
              </w:rPr>
              <w:t>civil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society </w:t>
            </w:r>
            <w:r w:rsidRPr="002A76CC">
              <w:rPr>
                <w:rFonts w:ascii="Lato" w:hAnsi="Lato" w:cs="Arial"/>
                <w:sz w:val="22"/>
                <w:szCs w:val="22"/>
              </w:rPr>
              <w:t>and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development partners</w:t>
            </w:r>
          </w:p>
          <w:p w14:paraId="5BF5CC1E" w14:textId="77777777" w:rsidR="009A6F48" w:rsidRPr="002A76CC" w:rsidRDefault="009A6F48" w:rsidP="006E3612">
            <w:pPr>
              <w:pStyle w:val="ListParagraph"/>
              <w:numPr>
                <w:ilvl w:val="0"/>
                <w:numId w:val="35"/>
              </w:numPr>
              <w:tabs>
                <w:tab w:val="left" w:pos="80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Excellent 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leadership </w:t>
            </w:r>
            <w:r w:rsidRPr="002A76CC">
              <w:rPr>
                <w:rFonts w:ascii="Lato" w:hAnsi="Lato" w:cs="Arial"/>
                <w:sz w:val="22"/>
                <w:szCs w:val="22"/>
              </w:rPr>
              <w:t>and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management </w:t>
            </w:r>
            <w:r w:rsidRPr="002A76CC">
              <w:rPr>
                <w:rFonts w:ascii="Lato" w:hAnsi="Lato" w:cs="Arial"/>
                <w:sz w:val="22"/>
                <w:szCs w:val="22"/>
              </w:rPr>
              <w:t>skills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in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a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complex organisational 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setting with proven 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track record </w:t>
            </w:r>
            <w:r w:rsidRPr="002A76CC">
              <w:rPr>
                <w:rFonts w:ascii="Lato" w:hAnsi="Lato" w:cs="Arial"/>
                <w:sz w:val="22"/>
                <w:szCs w:val="22"/>
              </w:rPr>
              <w:t>of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people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and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team 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management </w:t>
            </w:r>
            <w:r w:rsidRPr="002A76CC">
              <w:rPr>
                <w:rFonts w:ascii="Lato" w:hAnsi="Lato" w:cs="Arial"/>
                <w:sz w:val="22"/>
                <w:szCs w:val="22"/>
              </w:rPr>
              <w:t>and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a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proven ability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to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forge 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consensus </w:t>
            </w:r>
            <w:r w:rsidRPr="002A76CC">
              <w:rPr>
                <w:rFonts w:ascii="Lato" w:hAnsi="Lato" w:cs="Arial"/>
                <w:sz w:val="22"/>
                <w:szCs w:val="22"/>
              </w:rPr>
              <w:t>and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drive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action.</w:t>
            </w:r>
          </w:p>
          <w:p w14:paraId="7FA48C09" w14:textId="10C75E0E" w:rsidR="00E9768F" w:rsidRPr="002A76CC" w:rsidRDefault="009A6F48" w:rsidP="006E3612">
            <w:pPr>
              <w:pStyle w:val="ListParagraph"/>
              <w:numPr>
                <w:ilvl w:val="0"/>
                <w:numId w:val="35"/>
              </w:numPr>
              <w:tabs>
                <w:tab w:val="left" w:pos="80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Ability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to lead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strategic development </w:t>
            </w:r>
            <w:r w:rsidRPr="002A76CC">
              <w:rPr>
                <w:rFonts w:ascii="Lato" w:hAnsi="Lato" w:cs="Arial"/>
                <w:sz w:val="22"/>
                <w:szCs w:val="22"/>
              </w:rPr>
              <w:t>and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experience </w:t>
            </w:r>
            <w:r w:rsidRPr="002A76CC">
              <w:rPr>
                <w:rFonts w:ascii="Lato" w:hAnsi="Lato" w:cs="Arial"/>
                <w:sz w:val="22"/>
                <w:szCs w:val="22"/>
              </w:rPr>
              <w:t>in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9B56E3">
              <w:rPr>
                <w:rFonts w:ascii="Lato" w:hAnsi="Lato" w:cs="Arial"/>
                <w:sz w:val="22"/>
                <w:szCs w:val="22"/>
              </w:rPr>
              <w:t>implementing</w:t>
            </w:r>
            <w:r w:rsidR="009B56E3"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6E3612">
              <w:rPr>
                <w:rFonts w:ascii="Lato" w:hAnsi="Lato" w:cs="Arial"/>
                <w:sz w:val="22"/>
                <w:szCs w:val="22"/>
              </w:rPr>
              <w:t>systems strengthening approaches.</w:t>
            </w:r>
          </w:p>
          <w:p w14:paraId="39B16257" w14:textId="4DE2A80B" w:rsidR="009A6F48" w:rsidRPr="002A76CC" w:rsidRDefault="009A6F48" w:rsidP="006E3612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Ability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to effectively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9B56E3">
              <w:rPr>
                <w:rFonts w:ascii="Lato" w:hAnsi="Lato" w:cs="Arial"/>
                <w:sz w:val="22"/>
                <w:szCs w:val="22"/>
              </w:rPr>
              <w:t>promote</w:t>
            </w:r>
            <w:r w:rsidR="009B56E3" w:rsidRPr="002A7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a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learning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culture </w:t>
            </w:r>
            <w:r w:rsidRPr="002A76CC">
              <w:rPr>
                <w:rFonts w:ascii="Lato" w:hAnsi="Lato" w:cs="Arial"/>
                <w:sz w:val="22"/>
                <w:szCs w:val="22"/>
              </w:rPr>
              <w:t>within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an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organisation</w:t>
            </w:r>
          </w:p>
          <w:p w14:paraId="65167A38" w14:textId="01441608" w:rsidR="009A6F48" w:rsidRPr="002A76CC" w:rsidRDefault="009A6F48" w:rsidP="006E3612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6E3612">
              <w:rPr>
                <w:rFonts w:ascii="Lato" w:hAnsi="Lato" w:cs="Arial"/>
                <w:sz w:val="22"/>
                <w:szCs w:val="22"/>
              </w:rPr>
              <w:t xml:space="preserve">Experience </w:t>
            </w:r>
            <w:r w:rsidRPr="002A76CC">
              <w:rPr>
                <w:rFonts w:ascii="Lato" w:hAnsi="Lato" w:cs="Arial"/>
                <w:sz w:val="22"/>
                <w:szCs w:val="22"/>
              </w:rPr>
              <w:t>managing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large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grants-based program</w:t>
            </w:r>
            <w:r w:rsidR="00D50397">
              <w:rPr>
                <w:rFonts w:ascii="Lato" w:hAnsi="Lato" w:cs="Arial"/>
                <w:sz w:val="22"/>
                <w:szCs w:val="22"/>
              </w:rPr>
              <w:t>me</w:t>
            </w:r>
            <w:r w:rsidRPr="006E3612">
              <w:rPr>
                <w:rFonts w:ascii="Lato" w:hAnsi="Lato" w:cs="Arial"/>
                <w:sz w:val="22"/>
                <w:szCs w:val="22"/>
              </w:rPr>
              <w:t>s</w:t>
            </w:r>
          </w:p>
          <w:p w14:paraId="2A5BB5A6" w14:textId="77777777" w:rsidR="00556B70" w:rsidRPr="002A76CC" w:rsidRDefault="009A6F48" w:rsidP="006E3612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Excellent 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interpersonal </w:t>
            </w:r>
            <w:r w:rsidRPr="002A76CC">
              <w:rPr>
                <w:rFonts w:ascii="Lato" w:hAnsi="Lato" w:cs="Arial"/>
                <w:sz w:val="22"/>
                <w:szCs w:val="22"/>
              </w:rPr>
              <w:t>and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communications </w:t>
            </w:r>
            <w:r w:rsidRPr="002A76CC">
              <w:rPr>
                <w:rFonts w:ascii="Lato" w:hAnsi="Lato" w:cs="Arial"/>
                <w:sz w:val="22"/>
                <w:szCs w:val="22"/>
              </w:rPr>
              <w:t>skills</w:t>
            </w:r>
          </w:p>
          <w:p w14:paraId="1B546C16" w14:textId="77777777" w:rsidR="009A6F48" w:rsidRPr="002A76CC" w:rsidRDefault="009A6F48" w:rsidP="002E21F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  <w:p w14:paraId="10C3461C" w14:textId="77777777" w:rsidR="009A6F48" w:rsidRPr="002A76CC" w:rsidRDefault="009A6F48" w:rsidP="002E21F6">
            <w:pPr>
              <w:spacing w:line="276" w:lineRule="auto"/>
              <w:ind w:right="-20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w w:val="118"/>
                <w:sz w:val="22"/>
                <w:szCs w:val="22"/>
              </w:rPr>
              <w:t>Desirable</w:t>
            </w:r>
          </w:p>
          <w:p w14:paraId="2E6569E7" w14:textId="79AC5D15" w:rsidR="009A6F48" w:rsidRDefault="009A6F48" w:rsidP="009B56E3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Expe</w:t>
            </w:r>
            <w:r w:rsidRPr="00206BD9">
              <w:rPr>
                <w:rFonts w:ascii="Lato" w:hAnsi="Lato" w:cs="Arial"/>
                <w:sz w:val="22"/>
                <w:szCs w:val="22"/>
              </w:rPr>
              <w:t xml:space="preserve">rience </w:t>
            </w:r>
            <w:r w:rsidRPr="002A76CC">
              <w:rPr>
                <w:rFonts w:ascii="Lato" w:hAnsi="Lato" w:cs="Arial"/>
                <w:sz w:val="22"/>
                <w:szCs w:val="22"/>
              </w:rPr>
              <w:t>of</w:t>
            </w:r>
            <w:r w:rsidRPr="00206BD9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managing</w:t>
            </w:r>
            <w:r w:rsidRPr="00206BD9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large</w:t>
            </w:r>
            <w:r w:rsidRPr="00206BD9">
              <w:rPr>
                <w:rFonts w:ascii="Lato" w:hAnsi="Lato" w:cs="Arial"/>
                <w:sz w:val="22"/>
                <w:szCs w:val="22"/>
              </w:rPr>
              <w:t xml:space="preserve"> education program</w:t>
            </w:r>
            <w:r w:rsidR="00D50397">
              <w:rPr>
                <w:rFonts w:ascii="Lato" w:hAnsi="Lato" w:cs="Arial"/>
                <w:sz w:val="22"/>
                <w:szCs w:val="22"/>
              </w:rPr>
              <w:t>me</w:t>
            </w:r>
            <w:r w:rsidRPr="00206BD9">
              <w:rPr>
                <w:rFonts w:ascii="Lato" w:hAnsi="Lato" w:cs="Arial"/>
                <w:sz w:val="22"/>
                <w:szCs w:val="22"/>
              </w:rPr>
              <w:t>s</w:t>
            </w:r>
          </w:p>
          <w:p w14:paraId="581025C6" w14:textId="0A0E7DA2" w:rsidR="009B56E3" w:rsidRDefault="009B56E3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Experience leading multi-donor funds</w:t>
            </w:r>
          </w:p>
          <w:p w14:paraId="1E8833A1" w14:textId="6B8D7921" w:rsidR="005015B5" w:rsidRPr="00206BD9" w:rsidRDefault="005015B5" w:rsidP="006E3612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Experience of working with </w:t>
            </w:r>
            <w:r w:rsidR="00756A39">
              <w:rPr>
                <w:rFonts w:ascii="Lato" w:hAnsi="Lato" w:cs="Arial"/>
                <w:sz w:val="22"/>
                <w:szCs w:val="22"/>
              </w:rPr>
              <w:t xml:space="preserve">the </w:t>
            </w:r>
            <w:r>
              <w:rPr>
                <w:rFonts w:ascii="Lato" w:hAnsi="Lato" w:cs="Arial"/>
                <w:sz w:val="22"/>
                <w:szCs w:val="22"/>
              </w:rPr>
              <w:t>major institutional donors</w:t>
            </w:r>
          </w:p>
          <w:p w14:paraId="061B1394" w14:textId="644E2588" w:rsidR="001D0F6C" w:rsidRPr="002A76CC" w:rsidRDefault="001D0F6C" w:rsidP="00206BD9">
            <w:pPr>
              <w:pStyle w:val="ListParagraph"/>
              <w:numPr>
                <w:ilvl w:val="0"/>
                <w:numId w:val="35"/>
              </w:numPr>
              <w:tabs>
                <w:tab w:val="left" w:pos="80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206BD9">
              <w:rPr>
                <w:rFonts w:ascii="Lato" w:hAnsi="Lato" w:cs="Arial"/>
                <w:sz w:val="22"/>
                <w:szCs w:val="22"/>
              </w:rPr>
              <w:t>Experience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working </w:t>
            </w:r>
            <w:r w:rsidRPr="002A76CC">
              <w:rPr>
                <w:rFonts w:ascii="Lato" w:hAnsi="Lato" w:cs="Arial"/>
                <w:sz w:val="22"/>
                <w:szCs w:val="22"/>
              </w:rPr>
              <w:t>in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Myanmar or elsewhere in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proofErr w:type="gramStart"/>
            <w:r w:rsidRPr="002A76CC">
              <w:rPr>
                <w:rFonts w:ascii="Lato" w:hAnsi="Lato" w:cs="Arial"/>
                <w:sz w:val="22"/>
                <w:szCs w:val="22"/>
              </w:rPr>
              <w:t>South East</w:t>
            </w:r>
            <w:proofErr w:type="gramEnd"/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Asia</w:t>
            </w:r>
          </w:p>
          <w:p w14:paraId="039C9292" w14:textId="77777777" w:rsidR="009A6F48" w:rsidRPr="002A76CC" w:rsidRDefault="009A6F48" w:rsidP="006E3612">
            <w:pPr>
              <w:pStyle w:val="ListParagraph"/>
              <w:numPr>
                <w:ilvl w:val="0"/>
                <w:numId w:val="35"/>
              </w:numPr>
              <w:tabs>
                <w:tab w:val="left" w:pos="78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Knowledge of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key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issues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A76CC">
              <w:rPr>
                <w:rFonts w:ascii="Lato" w:hAnsi="Lato" w:cs="Arial"/>
                <w:sz w:val="22"/>
                <w:szCs w:val="22"/>
              </w:rPr>
              <w:t>and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strategies </w:t>
            </w:r>
            <w:r w:rsidRPr="002A76CC">
              <w:rPr>
                <w:rFonts w:ascii="Lato" w:hAnsi="Lato" w:cs="Arial"/>
                <w:sz w:val="22"/>
                <w:szCs w:val="22"/>
              </w:rPr>
              <w:t>in support of mother-tongue-based multi-lingual education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(MTB-MLE</w:t>
            </w:r>
            <w:r w:rsidR="00E9768F" w:rsidRPr="006E3612">
              <w:rPr>
                <w:rFonts w:ascii="Lato" w:hAnsi="Lato" w:cs="Arial"/>
                <w:sz w:val="22"/>
                <w:szCs w:val="22"/>
              </w:rPr>
              <w:t>)</w:t>
            </w:r>
            <w:r w:rsidRPr="006E3612">
              <w:rPr>
                <w:rFonts w:ascii="Lato" w:hAnsi="Lato" w:cs="Arial"/>
                <w:sz w:val="22"/>
                <w:szCs w:val="22"/>
              </w:rPr>
              <w:t xml:space="preserve"> and the improvement of learning outcomes</w:t>
            </w:r>
          </w:p>
          <w:p w14:paraId="6E16075F" w14:textId="77777777" w:rsidR="009A6F48" w:rsidRDefault="009A6F48">
            <w:pPr>
              <w:pStyle w:val="ListParagraph"/>
              <w:numPr>
                <w:ilvl w:val="0"/>
                <w:numId w:val="35"/>
              </w:numPr>
              <w:tabs>
                <w:tab w:val="left" w:pos="80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  <w:r w:rsidRPr="006E3612">
              <w:rPr>
                <w:rFonts w:ascii="Lato" w:hAnsi="Lato" w:cs="Arial"/>
                <w:sz w:val="22"/>
                <w:szCs w:val="22"/>
              </w:rPr>
              <w:t>Experience with complementary education systems programming</w:t>
            </w:r>
          </w:p>
          <w:p w14:paraId="74DC9A10" w14:textId="77777777" w:rsidR="00A3760B" w:rsidRPr="002A76CC" w:rsidRDefault="00A3760B" w:rsidP="006E3612">
            <w:pPr>
              <w:pStyle w:val="ListParagraph"/>
              <w:tabs>
                <w:tab w:val="left" w:pos="800"/>
              </w:tabs>
              <w:spacing w:before="24" w:line="276" w:lineRule="auto"/>
              <w:ind w:right="-20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E9768F" w:rsidRPr="002A76CC" w14:paraId="6B3FE22F" w14:textId="77777777" w:rsidTr="00EF1BB6">
        <w:trPr>
          <w:trHeight w:val="425"/>
        </w:trPr>
        <w:tc>
          <w:tcPr>
            <w:tcW w:w="9498" w:type="dxa"/>
            <w:gridSpan w:val="2"/>
          </w:tcPr>
          <w:p w14:paraId="3A0FECE6" w14:textId="77777777" w:rsidR="00CE502B" w:rsidRPr="002A76CC" w:rsidRDefault="00CE502B" w:rsidP="002E21F6">
            <w:pPr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Additional job responsibilities</w:t>
            </w:r>
          </w:p>
          <w:p w14:paraId="10000155" w14:textId="77777777" w:rsidR="00480895" w:rsidRPr="002A76CC" w:rsidRDefault="00F5619F" w:rsidP="002E21F6">
            <w:pPr>
              <w:tabs>
                <w:tab w:val="left" w:pos="1134"/>
              </w:tabs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lastRenderedPageBreak/>
              <w:t>The</w:t>
            </w:r>
            <w:r w:rsidR="00CE502B" w:rsidRPr="002A76CC">
              <w:rPr>
                <w:rFonts w:ascii="Lato" w:hAnsi="Lato" w:cs="Arial"/>
                <w:sz w:val="22"/>
                <w:szCs w:val="22"/>
              </w:rPr>
              <w:t xml:space="preserve"> duties and responsibilities as set out above are not exhaustiv</w:t>
            </w:r>
            <w:r w:rsidR="00480895" w:rsidRPr="002A76CC">
              <w:rPr>
                <w:rFonts w:ascii="Lato" w:hAnsi="Lato" w:cs="Arial"/>
                <w:sz w:val="22"/>
                <w:szCs w:val="22"/>
              </w:rPr>
              <w:t xml:space="preserve">e and the </w:t>
            </w:r>
            <w:r w:rsidRPr="002A76CC">
              <w:rPr>
                <w:rFonts w:ascii="Lato" w:hAnsi="Lato" w:cs="Arial"/>
                <w:sz w:val="22"/>
                <w:szCs w:val="22"/>
              </w:rPr>
              <w:t>role</w:t>
            </w:r>
            <w:r w:rsidR="00CE502B" w:rsidRPr="002A76CC">
              <w:rPr>
                <w:rFonts w:ascii="Lato" w:hAnsi="Lato" w:cs="Arial"/>
                <w:sz w:val="22"/>
                <w:szCs w:val="22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E9768F" w:rsidRPr="002A76CC" w14:paraId="61BB6EBF" w14:textId="77777777" w:rsidTr="00920C0C">
        <w:tc>
          <w:tcPr>
            <w:tcW w:w="9498" w:type="dxa"/>
            <w:gridSpan w:val="2"/>
            <w:tcBorders>
              <w:top w:val="single" w:sz="8" w:space="0" w:color="000000"/>
            </w:tcBorders>
          </w:tcPr>
          <w:p w14:paraId="0CD509C8" w14:textId="77777777" w:rsidR="00F069CA" w:rsidRPr="002A76CC" w:rsidRDefault="00F069CA" w:rsidP="002E21F6">
            <w:pPr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lastRenderedPageBreak/>
              <w:t xml:space="preserve">Equal Opportunities </w:t>
            </w:r>
          </w:p>
          <w:p w14:paraId="63E4F5ED" w14:textId="77777777" w:rsidR="00F069CA" w:rsidRPr="002A76CC" w:rsidRDefault="00F069CA" w:rsidP="002E21F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F5619F" w:rsidRPr="002A76CC">
              <w:rPr>
                <w:rFonts w:ascii="Lato" w:hAnsi="Lato" w:cs="Arial"/>
                <w:sz w:val="22"/>
                <w:szCs w:val="22"/>
              </w:rPr>
              <w:t>role</w:t>
            </w:r>
            <w:r w:rsidRPr="002A76CC">
              <w:rPr>
                <w:rFonts w:ascii="Lato" w:hAnsi="Lato" w:cs="Arial"/>
                <w:sz w:val="22"/>
                <w:szCs w:val="22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E9768F" w:rsidRPr="002A76CC" w14:paraId="58B7B112" w14:textId="77777777" w:rsidTr="00543A17">
        <w:tc>
          <w:tcPr>
            <w:tcW w:w="9498" w:type="dxa"/>
            <w:gridSpan w:val="2"/>
          </w:tcPr>
          <w:p w14:paraId="6E947392" w14:textId="77777777" w:rsidR="00520EAC" w:rsidRPr="002A76CC" w:rsidRDefault="00520EAC" w:rsidP="002E21F6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2A76CC">
              <w:rPr>
                <w:rFonts w:ascii="Lato" w:hAnsi="Lato"/>
                <w:b/>
                <w:sz w:val="22"/>
                <w:szCs w:val="22"/>
              </w:rPr>
              <w:t>Child Safeguarding:</w:t>
            </w:r>
          </w:p>
          <w:p w14:paraId="50228E3E" w14:textId="77777777" w:rsidR="00520EAC" w:rsidRPr="002A76CC" w:rsidRDefault="00520EAC" w:rsidP="002E21F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2A76CC">
              <w:rPr>
                <w:rFonts w:ascii="Lato" w:hAnsi="Lato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="00C13528" w:rsidRPr="002A76CC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E9768F" w:rsidRPr="002A76CC" w14:paraId="790CAE45" w14:textId="77777777" w:rsidTr="00543A17">
        <w:tc>
          <w:tcPr>
            <w:tcW w:w="9498" w:type="dxa"/>
            <w:gridSpan w:val="2"/>
          </w:tcPr>
          <w:p w14:paraId="1A10E37F" w14:textId="77777777" w:rsidR="00EC46B9" w:rsidRPr="002A76CC" w:rsidRDefault="00EC46B9" w:rsidP="002E21F6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2A76CC">
              <w:rPr>
                <w:rFonts w:ascii="Lato" w:hAnsi="Lato"/>
                <w:b/>
                <w:sz w:val="22"/>
                <w:szCs w:val="22"/>
              </w:rPr>
              <w:t>Safeguarding our Staff:</w:t>
            </w:r>
          </w:p>
          <w:p w14:paraId="14F43E74" w14:textId="77777777" w:rsidR="00EC46B9" w:rsidRPr="002A76CC" w:rsidRDefault="00EC46B9" w:rsidP="002E21F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2A76CC">
              <w:rPr>
                <w:rFonts w:ascii="Lato" w:hAnsi="Lato"/>
                <w:sz w:val="22"/>
                <w:szCs w:val="22"/>
              </w:rPr>
              <w:t>The post holder is required to carry out the duties in accordance with the SCI anti-harassment policy</w:t>
            </w:r>
          </w:p>
        </w:tc>
      </w:tr>
      <w:tr w:rsidR="00E9768F" w:rsidRPr="002A76CC" w14:paraId="6D76981E" w14:textId="77777777" w:rsidTr="00543A17">
        <w:tc>
          <w:tcPr>
            <w:tcW w:w="9498" w:type="dxa"/>
            <w:gridSpan w:val="2"/>
          </w:tcPr>
          <w:p w14:paraId="76868DDD" w14:textId="77777777" w:rsidR="00F069CA" w:rsidRPr="002A76CC" w:rsidRDefault="00F069CA" w:rsidP="002E21F6">
            <w:pPr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2A76CC">
              <w:rPr>
                <w:rFonts w:ascii="Lato" w:hAnsi="Lato" w:cs="Arial"/>
                <w:b/>
                <w:sz w:val="22"/>
                <w:szCs w:val="22"/>
              </w:rPr>
              <w:t>Health and Safety</w:t>
            </w:r>
          </w:p>
          <w:p w14:paraId="22FD60C8" w14:textId="77777777" w:rsidR="00F069CA" w:rsidRPr="002A76CC" w:rsidRDefault="00F5619F" w:rsidP="002E21F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2A76CC">
              <w:rPr>
                <w:rFonts w:ascii="Lato" w:hAnsi="Lato" w:cs="Arial"/>
                <w:sz w:val="22"/>
                <w:szCs w:val="22"/>
              </w:rPr>
              <w:t>The role</w:t>
            </w:r>
            <w:r w:rsidR="00F069CA" w:rsidRPr="002A76CC">
              <w:rPr>
                <w:rFonts w:ascii="Lato" w:hAnsi="Lato" w:cs="Arial"/>
                <w:sz w:val="22"/>
                <w:szCs w:val="22"/>
              </w:rPr>
              <w:t xml:space="preserve"> holder is required to carry out the duties in accordance with SCI Health and Safety policies and procedures.</w:t>
            </w:r>
          </w:p>
        </w:tc>
      </w:tr>
    </w:tbl>
    <w:p w14:paraId="3EB66886" w14:textId="77777777" w:rsidR="00B83E89" w:rsidRPr="002A76CC" w:rsidRDefault="00B83E89" w:rsidP="00D60680">
      <w:pPr>
        <w:spacing w:line="276" w:lineRule="auto"/>
        <w:rPr>
          <w:rFonts w:ascii="Lato" w:hAnsi="Lato" w:cs="Arial"/>
          <w:sz w:val="22"/>
          <w:szCs w:val="22"/>
        </w:rPr>
      </w:pPr>
    </w:p>
    <w:sectPr w:rsidR="00B83E89" w:rsidRPr="002A76CC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4E9D" w14:textId="77777777" w:rsidR="00391050" w:rsidRDefault="00391050">
      <w:r>
        <w:separator/>
      </w:r>
    </w:p>
  </w:endnote>
  <w:endnote w:type="continuationSeparator" w:id="0">
    <w:p w14:paraId="7F1FA88C" w14:textId="77777777" w:rsidR="00391050" w:rsidRDefault="0039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F3C2" w14:textId="77777777" w:rsidR="00391050" w:rsidRDefault="00391050">
      <w:r>
        <w:separator/>
      </w:r>
    </w:p>
  </w:footnote>
  <w:footnote w:type="continuationSeparator" w:id="0">
    <w:p w14:paraId="2D1972AD" w14:textId="77777777" w:rsidR="00391050" w:rsidRDefault="0039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9B7F8" w14:textId="77777777" w:rsidR="001B2A90" w:rsidRPr="00F5619F" w:rsidRDefault="00D50397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pict w14:anchorId="33E44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315.75pt;margin-top:-7.75pt;width:132pt;height:26.55pt;z-index:251657728;visibility:visible;mso-wrap-edited:f;mso-width-percent:0;mso-height-percent:0;mso-width-percent:0;mso-height-percent:0">
          <v:imagedata r:id="rId1" o:title=""/>
        </v:shape>
      </w:pict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31839051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1F444A7F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3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4" w15:restartNumberingAfterBreak="0">
    <w:nsid w:val="22BF3876"/>
    <w:multiLevelType w:val="hybridMultilevel"/>
    <w:tmpl w:val="A7C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6" w15:restartNumberingAfterBreak="0">
    <w:nsid w:val="2D135E4D"/>
    <w:multiLevelType w:val="hybridMultilevel"/>
    <w:tmpl w:val="D5BC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97346C"/>
    <w:multiLevelType w:val="hybridMultilevel"/>
    <w:tmpl w:val="A182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8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1" w15:restartNumberingAfterBreak="0">
    <w:nsid w:val="5E0B1145"/>
    <w:multiLevelType w:val="hybridMultilevel"/>
    <w:tmpl w:val="4B04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7" w15:restartNumberingAfterBreak="0">
    <w:nsid w:val="73B371E6"/>
    <w:multiLevelType w:val="hybridMultilevel"/>
    <w:tmpl w:val="A6B0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25B3F"/>
    <w:multiLevelType w:val="hybridMultilevel"/>
    <w:tmpl w:val="A5CC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0470">
    <w:abstractNumId w:val="21"/>
  </w:num>
  <w:num w:numId="2" w16cid:durableId="2091542248">
    <w:abstractNumId w:val="13"/>
  </w:num>
  <w:num w:numId="3" w16cid:durableId="1103919537">
    <w:abstractNumId w:val="20"/>
  </w:num>
  <w:num w:numId="4" w16cid:durableId="1438133040">
    <w:abstractNumId w:val="0"/>
  </w:num>
  <w:num w:numId="5" w16cid:durableId="1762212459">
    <w:abstractNumId w:val="23"/>
  </w:num>
  <w:num w:numId="6" w16cid:durableId="973173215">
    <w:abstractNumId w:val="10"/>
  </w:num>
  <w:num w:numId="7" w16cid:durableId="657731053">
    <w:abstractNumId w:val="22"/>
  </w:num>
  <w:num w:numId="8" w16cid:durableId="98919254">
    <w:abstractNumId w:val="11"/>
  </w:num>
  <w:num w:numId="9" w16cid:durableId="1990359463">
    <w:abstractNumId w:val="6"/>
  </w:num>
  <w:num w:numId="10" w16cid:durableId="1482697582">
    <w:abstractNumId w:val="17"/>
  </w:num>
  <w:num w:numId="11" w16cid:durableId="1179200989">
    <w:abstractNumId w:val="33"/>
  </w:num>
  <w:num w:numId="12" w16cid:durableId="1462306345">
    <w:abstractNumId w:val="15"/>
  </w:num>
  <w:num w:numId="13" w16cid:durableId="1156140898">
    <w:abstractNumId w:val="35"/>
  </w:num>
  <w:num w:numId="14" w16cid:durableId="547182892">
    <w:abstractNumId w:val="18"/>
  </w:num>
  <w:num w:numId="15" w16cid:durableId="43407233">
    <w:abstractNumId w:val="26"/>
  </w:num>
  <w:num w:numId="16" w16cid:durableId="333381753">
    <w:abstractNumId w:val="19"/>
  </w:num>
  <w:num w:numId="17" w16cid:durableId="1690789429">
    <w:abstractNumId w:val="7"/>
  </w:num>
  <w:num w:numId="18" w16cid:durableId="1657225300">
    <w:abstractNumId w:val="34"/>
  </w:num>
  <w:num w:numId="19" w16cid:durableId="311636950">
    <w:abstractNumId w:val="9"/>
  </w:num>
  <w:num w:numId="20" w16cid:durableId="1652706932">
    <w:abstractNumId w:val="5"/>
  </w:num>
  <w:num w:numId="21" w16cid:durableId="1282422866">
    <w:abstractNumId w:val="32"/>
  </w:num>
  <w:num w:numId="22" w16cid:durableId="1744714959">
    <w:abstractNumId w:val="29"/>
  </w:num>
  <w:num w:numId="23" w16cid:durableId="1987126588">
    <w:abstractNumId w:val="27"/>
  </w:num>
  <w:num w:numId="24" w16cid:durableId="505874515">
    <w:abstractNumId w:val="36"/>
  </w:num>
  <w:num w:numId="25" w16cid:durableId="1987276911">
    <w:abstractNumId w:val="30"/>
  </w:num>
  <w:num w:numId="26" w16cid:durableId="757562604">
    <w:abstractNumId w:val="12"/>
  </w:num>
  <w:num w:numId="27" w16cid:durableId="502552594">
    <w:abstractNumId w:val="28"/>
  </w:num>
  <w:num w:numId="28" w16cid:durableId="744692748">
    <w:abstractNumId w:val="8"/>
  </w:num>
  <w:num w:numId="29" w16cid:durableId="1633093569">
    <w:abstractNumId w:val="1"/>
  </w:num>
  <w:num w:numId="30" w16cid:durableId="1617180598">
    <w:abstractNumId w:val="2"/>
  </w:num>
  <w:num w:numId="31" w16cid:durableId="1829321451">
    <w:abstractNumId w:val="3"/>
  </w:num>
  <w:num w:numId="32" w16cid:durableId="1475559839">
    <w:abstractNumId w:val="4"/>
  </w:num>
  <w:num w:numId="33" w16cid:durableId="474956189">
    <w:abstractNumId w:val="25"/>
  </w:num>
  <w:num w:numId="34" w16cid:durableId="2035380861">
    <w:abstractNumId w:val="16"/>
  </w:num>
  <w:num w:numId="35" w16cid:durableId="1219706713">
    <w:abstractNumId w:val="31"/>
  </w:num>
  <w:num w:numId="36" w16cid:durableId="886185862">
    <w:abstractNumId w:val="14"/>
  </w:num>
  <w:num w:numId="37" w16cid:durableId="1837650335">
    <w:abstractNumId w:val="24"/>
  </w:num>
  <w:num w:numId="38" w16cid:durableId="1922060042">
    <w:abstractNumId w:val="37"/>
  </w:num>
  <w:num w:numId="39" w16cid:durableId="1374695286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AC"/>
    <w:rsid w:val="00007D0B"/>
    <w:rsid w:val="00014716"/>
    <w:rsid w:val="000439E4"/>
    <w:rsid w:val="00051586"/>
    <w:rsid w:val="00091A58"/>
    <w:rsid w:val="00092DD0"/>
    <w:rsid w:val="000A0163"/>
    <w:rsid w:val="000B2430"/>
    <w:rsid w:val="000E09C6"/>
    <w:rsid w:val="0015099B"/>
    <w:rsid w:val="0015532E"/>
    <w:rsid w:val="00174203"/>
    <w:rsid w:val="0017754D"/>
    <w:rsid w:val="00183B33"/>
    <w:rsid w:val="00197A5F"/>
    <w:rsid w:val="001B2A90"/>
    <w:rsid w:val="001B461D"/>
    <w:rsid w:val="001D0F6C"/>
    <w:rsid w:val="001D15E2"/>
    <w:rsid w:val="001D1F88"/>
    <w:rsid w:val="001E3518"/>
    <w:rsid w:val="001E74E0"/>
    <w:rsid w:val="002065ED"/>
    <w:rsid w:val="00206BD9"/>
    <w:rsid w:val="00225770"/>
    <w:rsid w:val="00235D14"/>
    <w:rsid w:val="00255049"/>
    <w:rsid w:val="00267F7F"/>
    <w:rsid w:val="00287B36"/>
    <w:rsid w:val="00290500"/>
    <w:rsid w:val="002916E8"/>
    <w:rsid w:val="002958DE"/>
    <w:rsid w:val="00297EEF"/>
    <w:rsid w:val="002A43C0"/>
    <w:rsid w:val="002A76CC"/>
    <w:rsid w:val="002B21C3"/>
    <w:rsid w:val="002D4A35"/>
    <w:rsid w:val="002D6EA6"/>
    <w:rsid w:val="002E170D"/>
    <w:rsid w:val="002E21F6"/>
    <w:rsid w:val="002E34C0"/>
    <w:rsid w:val="002E60B0"/>
    <w:rsid w:val="00324580"/>
    <w:rsid w:val="00331006"/>
    <w:rsid w:val="00341E13"/>
    <w:rsid w:val="00353BC0"/>
    <w:rsid w:val="00382DCB"/>
    <w:rsid w:val="00391050"/>
    <w:rsid w:val="003B081D"/>
    <w:rsid w:val="003B2EB5"/>
    <w:rsid w:val="00404EA4"/>
    <w:rsid w:val="00407466"/>
    <w:rsid w:val="00416FB8"/>
    <w:rsid w:val="00434D92"/>
    <w:rsid w:val="00456024"/>
    <w:rsid w:val="00457479"/>
    <w:rsid w:val="004757CF"/>
    <w:rsid w:val="004775F6"/>
    <w:rsid w:val="00480895"/>
    <w:rsid w:val="00482382"/>
    <w:rsid w:val="00483CC9"/>
    <w:rsid w:val="004852D8"/>
    <w:rsid w:val="00493703"/>
    <w:rsid w:val="004A0467"/>
    <w:rsid w:val="004B2994"/>
    <w:rsid w:val="004C2411"/>
    <w:rsid w:val="004C3FFF"/>
    <w:rsid w:val="004C44EA"/>
    <w:rsid w:val="004D69BB"/>
    <w:rsid w:val="004E2B71"/>
    <w:rsid w:val="004F1CC9"/>
    <w:rsid w:val="005015B5"/>
    <w:rsid w:val="00502CDE"/>
    <w:rsid w:val="00514D77"/>
    <w:rsid w:val="00520EAC"/>
    <w:rsid w:val="00525E62"/>
    <w:rsid w:val="005358D9"/>
    <w:rsid w:val="00543A17"/>
    <w:rsid w:val="00553DE4"/>
    <w:rsid w:val="00556B70"/>
    <w:rsid w:val="005602C8"/>
    <w:rsid w:val="00586599"/>
    <w:rsid w:val="005B077F"/>
    <w:rsid w:val="005D08E0"/>
    <w:rsid w:val="005D3D7F"/>
    <w:rsid w:val="005F161F"/>
    <w:rsid w:val="00601D69"/>
    <w:rsid w:val="006171BF"/>
    <w:rsid w:val="006224AD"/>
    <w:rsid w:val="00624CD4"/>
    <w:rsid w:val="00640C69"/>
    <w:rsid w:val="006419C8"/>
    <w:rsid w:val="00647D3A"/>
    <w:rsid w:val="00652A42"/>
    <w:rsid w:val="0069034A"/>
    <w:rsid w:val="006934BA"/>
    <w:rsid w:val="006A391E"/>
    <w:rsid w:val="006D3CEE"/>
    <w:rsid w:val="006D7BC5"/>
    <w:rsid w:val="006E3612"/>
    <w:rsid w:val="006F46C2"/>
    <w:rsid w:val="0070429E"/>
    <w:rsid w:val="00713FF2"/>
    <w:rsid w:val="0072183D"/>
    <w:rsid w:val="00743D76"/>
    <w:rsid w:val="00756550"/>
    <w:rsid w:val="00756560"/>
    <w:rsid w:val="00756A39"/>
    <w:rsid w:val="00762004"/>
    <w:rsid w:val="00770638"/>
    <w:rsid w:val="007770CA"/>
    <w:rsid w:val="007830B1"/>
    <w:rsid w:val="007B47F6"/>
    <w:rsid w:val="007C1BB7"/>
    <w:rsid w:val="007D26DC"/>
    <w:rsid w:val="007D3755"/>
    <w:rsid w:val="007F0E5A"/>
    <w:rsid w:val="007F13A8"/>
    <w:rsid w:val="007F3ECE"/>
    <w:rsid w:val="007F729D"/>
    <w:rsid w:val="00805BE2"/>
    <w:rsid w:val="008178C0"/>
    <w:rsid w:val="00822219"/>
    <w:rsid w:val="008264D8"/>
    <w:rsid w:val="00850C04"/>
    <w:rsid w:val="0088006A"/>
    <w:rsid w:val="008A071A"/>
    <w:rsid w:val="008C5A62"/>
    <w:rsid w:val="0090541F"/>
    <w:rsid w:val="00920C0C"/>
    <w:rsid w:val="00920E86"/>
    <w:rsid w:val="00920FDB"/>
    <w:rsid w:val="00921058"/>
    <w:rsid w:val="0092582B"/>
    <w:rsid w:val="00927BE8"/>
    <w:rsid w:val="009356CE"/>
    <w:rsid w:val="009376FF"/>
    <w:rsid w:val="009547DB"/>
    <w:rsid w:val="0097526E"/>
    <w:rsid w:val="00982F39"/>
    <w:rsid w:val="00984B86"/>
    <w:rsid w:val="00990F81"/>
    <w:rsid w:val="009A6F48"/>
    <w:rsid w:val="009B1911"/>
    <w:rsid w:val="009B56E3"/>
    <w:rsid w:val="009C17CE"/>
    <w:rsid w:val="009D22D1"/>
    <w:rsid w:val="009D2BAF"/>
    <w:rsid w:val="009D388A"/>
    <w:rsid w:val="009E3F2E"/>
    <w:rsid w:val="009E5F4B"/>
    <w:rsid w:val="009F45ED"/>
    <w:rsid w:val="00A118A1"/>
    <w:rsid w:val="00A128A0"/>
    <w:rsid w:val="00A3760B"/>
    <w:rsid w:val="00A43A43"/>
    <w:rsid w:val="00A449FC"/>
    <w:rsid w:val="00A50785"/>
    <w:rsid w:val="00A56833"/>
    <w:rsid w:val="00A62515"/>
    <w:rsid w:val="00A6746E"/>
    <w:rsid w:val="00A77F92"/>
    <w:rsid w:val="00A82817"/>
    <w:rsid w:val="00A8753E"/>
    <w:rsid w:val="00A9158C"/>
    <w:rsid w:val="00AA04DA"/>
    <w:rsid w:val="00AA77CC"/>
    <w:rsid w:val="00AB2CE5"/>
    <w:rsid w:val="00AC797D"/>
    <w:rsid w:val="00AC7F69"/>
    <w:rsid w:val="00AD38C8"/>
    <w:rsid w:val="00AE3EDF"/>
    <w:rsid w:val="00B01A04"/>
    <w:rsid w:val="00B04818"/>
    <w:rsid w:val="00B109CA"/>
    <w:rsid w:val="00B14F8E"/>
    <w:rsid w:val="00B21B76"/>
    <w:rsid w:val="00B5365E"/>
    <w:rsid w:val="00B546DF"/>
    <w:rsid w:val="00B644B9"/>
    <w:rsid w:val="00B830C1"/>
    <w:rsid w:val="00B83E89"/>
    <w:rsid w:val="00B84E72"/>
    <w:rsid w:val="00B85F11"/>
    <w:rsid w:val="00B9157F"/>
    <w:rsid w:val="00BA2A12"/>
    <w:rsid w:val="00BC471B"/>
    <w:rsid w:val="00BE556E"/>
    <w:rsid w:val="00BF17CE"/>
    <w:rsid w:val="00C13528"/>
    <w:rsid w:val="00C15D29"/>
    <w:rsid w:val="00C21E23"/>
    <w:rsid w:val="00C34EA2"/>
    <w:rsid w:val="00C61C6F"/>
    <w:rsid w:val="00C6257E"/>
    <w:rsid w:val="00C71F41"/>
    <w:rsid w:val="00C82E63"/>
    <w:rsid w:val="00C95100"/>
    <w:rsid w:val="00C978E6"/>
    <w:rsid w:val="00CA0DE6"/>
    <w:rsid w:val="00CA3D46"/>
    <w:rsid w:val="00CB20F1"/>
    <w:rsid w:val="00CE2BA5"/>
    <w:rsid w:val="00CE502B"/>
    <w:rsid w:val="00D26C4F"/>
    <w:rsid w:val="00D329A6"/>
    <w:rsid w:val="00D33A59"/>
    <w:rsid w:val="00D42548"/>
    <w:rsid w:val="00D43470"/>
    <w:rsid w:val="00D46539"/>
    <w:rsid w:val="00D50397"/>
    <w:rsid w:val="00D5085F"/>
    <w:rsid w:val="00D51371"/>
    <w:rsid w:val="00D520E4"/>
    <w:rsid w:val="00D60680"/>
    <w:rsid w:val="00D64C59"/>
    <w:rsid w:val="00D802AC"/>
    <w:rsid w:val="00DB49BD"/>
    <w:rsid w:val="00DC293E"/>
    <w:rsid w:val="00DF31B1"/>
    <w:rsid w:val="00DF530F"/>
    <w:rsid w:val="00E03B54"/>
    <w:rsid w:val="00E14DF1"/>
    <w:rsid w:val="00E2250C"/>
    <w:rsid w:val="00E32E53"/>
    <w:rsid w:val="00E53475"/>
    <w:rsid w:val="00E57430"/>
    <w:rsid w:val="00E722A3"/>
    <w:rsid w:val="00E760A1"/>
    <w:rsid w:val="00E77359"/>
    <w:rsid w:val="00E8344C"/>
    <w:rsid w:val="00E83956"/>
    <w:rsid w:val="00E9768F"/>
    <w:rsid w:val="00EA19E3"/>
    <w:rsid w:val="00EA44F5"/>
    <w:rsid w:val="00EB1BA4"/>
    <w:rsid w:val="00EC1B3B"/>
    <w:rsid w:val="00EC46B9"/>
    <w:rsid w:val="00ED102A"/>
    <w:rsid w:val="00ED1ED0"/>
    <w:rsid w:val="00ED3C6D"/>
    <w:rsid w:val="00EE4321"/>
    <w:rsid w:val="00EE5C53"/>
    <w:rsid w:val="00EF0236"/>
    <w:rsid w:val="00EF1BB6"/>
    <w:rsid w:val="00EF20E6"/>
    <w:rsid w:val="00EF33BF"/>
    <w:rsid w:val="00F02B5B"/>
    <w:rsid w:val="00F069CA"/>
    <w:rsid w:val="00F07843"/>
    <w:rsid w:val="00F17D35"/>
    <w:rsid w:val="00F44AC7"/>
    <w:rsid w:val="00F523B3"/>
    <w:rsid w:val="00F55B51"/>
    <w:rsid w:val="00F5619F"/>
    <w:rsid w:val="00F706C7"/>
    <w:rsid w:val="00F73DCC"/>
    <w:rsid w:val="00F810FA"/>
    <w:rsid w:val="00F9086D"/>
    <w:rsid w:val="00FA4DFB"/>
    <w:rsid w:val="00FC67B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A0E2C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F70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F48"/>
    <w:rPr>
      <w:lang w:eastAsia="en-US"/>
    </w:rPr>
  </w:style>
  <w:style w:type="paragraph" w:styleId="ListParagraph">
    <w:name w:val="List Paragraph"/>
    <w:basedOn w:val="Normal"/>
    <w:uiPriority w:val="34"/>
    <w:qFormat/>
    <w:rsid w:val="00E9768F"/>
    <w:pPr>
      <w:ind w:left="720"/>
      <w:contextualSpacing/>
    </w:pPr>
  </w:style>
  <w:style w:type="paragraph" w:customStyle="1" w:styleId="Default">
    <w:name w:val="Default"/>
    <w:rsid w:val="009B191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2A76CC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1E74E0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681A-0620-4E69-81B8-0215EF6B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1615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Howells, Thomas</cp:lastModifiedBy>
  <cp:revision>9</cp:revision>
  <cp:lastPrinted>2011-08-02T10:07:00Z</cp:lastPrinted>
  <dcterms:created xsi:type="dcterms:W3CDTF">2024-10-14T11:56:00Z</dcterms:created>
  <dcterms:modified xsi:type="dcterms:W3CDTF">2024-10-14T12:11:00Z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</Properties>
</file>